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aps/>
          <w:color w:val="2E75B6"/>
          <w:sz w:val="20"/>
          <w:szCs w:val="20"/>
        </w:rPr>
        <w:t xml:space="preserve">POLICY DISCUSSION PAPER</w:t>
      </w:r>
    </w:p>
    <w:p>
      <w:pPr>
        <w:spacing w:after="80" w:before="0"/>
      </w:pPr>
      <w:r>
        <w:rPr>
          <w:rFonts w:ascii="Arial" w:cs="Arial" w:eastAsia="Arial" w:hAnsi="Arial"/>
          <w:b/>
          <w:bCs/>
          <w:color w:val="1F3864"/>
          <w:sz w:val="44"/>
          <w:szCs w:val="44"/>
        </w:rPr>
        <w:t xml:space="preserve">The NDIS Insurance Myth:</w:t>
      </w:r>
    </w:p>
    <w:p>
      <w:pPr>
        <w:spacing w:after="80" w:before="0"/>
      </w:pPr>
      <w:r>
        <w:rPr>
          <w:rFonts w:ascii="Arial" w:cs="Arial" w:eastAsia="Arial" w:hAnsi="Arial"/>
          <w:b/>
          <w:bCs/>
          <w:color w:val="2E75B6"/>
          <w:sz w:val="36"/>
          <w:szCs w:val="36"/>
        </w:rPr>
        <w:t xml:space="preserve">Why Calling It a Scheme Does Not Make It One</w:t>
      </w:r>
    </w:p>
    <w:p>
      <w:pPr>
        <w:pBdr>
          <w:bottom w:val="single" w:color="2E75B6" w:sz="8" w:space="6"/>
        </w:pBdr>
        <w:spacing w:after="360" w:before="0"/>
      </w:pPr>
      <w:r>
        <w:rPr>
          <w:rFonts w:ascii="Arial" w:cs="Arial" w:eastAsia="Arial" w:hAnsi="Arial"/>
          <w:i/>
          <w:iCs/>
          <w:color w:val="595959"/>
          <w:sz w:val="22"/>
          <w:szCs w:val="22"/>
        </w:rPr>
        <w:t xml:space="preserve">An independent structural analysis of the National Disability Insurance Scheme: its design failures, cost trajectory, and the case for genuine actuarial reform.</w:t>
      </w:r>
    </w:p>
    <w:p>
      <w:pPr>
        <w:spacing w:after="120" w:before="0"/>
      </w:pPr>
      <w:r>
        <w:rPr>
          <w:rFonts w:ascii="Arial" w:cs="Arial" w:eastAsia="Arial" w:hAnsi="Arial"/>
          <w:b/>
          <w:bCs/>
          <w:caps/>
          <w:color w:val="2E75B6"/>
          <w:sz w:val="18"/>
          <w:szCs w:val="18"/>
        </w:rPr>
        <w:t xml:space="preserve">THE NUMBERS THAT DEMAND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
        <w:gridCol w:w="2800"/>
        <w:gridCol w:w="80"/>
        <w:gridCol w:w="2800"/>
        <w:gridCol w:w="80"/>
        <w:gridCol w:w="386"/>
      </w:tblGrid>
      <w:tr>
        <w:tc>
          <w:tcPr>
            <w:tcW w:type="dxa" w:w="280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jc w:val="center"/>
            </w:pPr>
            <w:r>
              <w:rPr>
                <w:rFonts w:ascii="Arial" w:cs="Arial" w:eastAsia="Arial" w:hAnsi="Arial"/>
                <w:b/>
                <w:bCs/>
                <w:color w:val="1F3864"/>
                <w:sz w:val="44"/>
                <w:szCs w:val="44"/>
              </w:rPr>
              <w:t xml:space="preserve">$13.6B</w:t>
            </w:r>
          </w:p>
          <w:p>
            <w:pPr>
              <w:jc w:val="center"/>
            </w:pPr>
            <w:r>
              <w:rPr>
                <w:rFonts w:ascii="Arial" w:cs="Arial" w:eastAsia="Arial" w:hAnsi="Arial"/>
                <w:b/>
                <w:bCs/>
                <w:color w:val="1F3864"/>
                <w:sz w:val="18"/>
                <w:szCs w:val="18"/>
              </w:rPr>
              <w:t xml:space="preserve">Original forecast</w:t>
            </w:r>
          </w:p>
          <w:p>
            <w:pPr>
              <w:jc w:val="center"/>
            </w:pPr>
            <w:r>
              <w:rPr>
                <w:rFonts w:ascii="Arial" w:cs="Arial" w:eastAsia="Arial" w:hAnsi="Arial"/>
                <w:color w:val="595959"/>
                <w:sz w:val="16"/>
                <w:szCs w:val="16"/>
              </w:rPr>
              <w:t xml:space="preserve">2011 estimate for 2023</w:t>
            </w:r>
          </w:p>
        </w:tc>
        <w:tc>
          <w:tcPr>
            <w:tcW w:type="dxa" w:w="80"/>
            <w:tcBorders>
              <w:top w:val="none" w:color="FFFFFF" w:sz="0"/>
              <w:left w:val="none" w:color="FFFFFF" w:sz="0"/>
              <w:bottom w:val="none" w:color="FFFFFF" w:sz="0"/>
              <w:right w:val="none" w:color="FFFFFF" w:sz="0"/>
            </w:tcBorders>
          </w:tcPr>
          <w:p>
            <w:r>
              <w:t xml:space="preserve"/>
            </w:r>
          </w:p>
        </w:tc>
        <w:tc>
          <w:tcPr>
            <w:tcW w:type="dxa" w:w="2800"/>
            <w:tcBorders>
              <w:top w:val="none" w:color="FFFFFF" w:sz="0"/>
              <w:left w:val="none" w:color="FFFFFF" w:sz="0"/>
              <w:bottom w:val="none" w:color="FFFFFF" w:sz="0"/>
              <w:right w:val="none" w:color="FFFFFF" w:sz="0"/>
            </w:tcBorders>
            <w:shd w:fill="FCE4E4" w:val="clear"/>
            <w:tcMar>
              <w:top w:type="dxa" w:w="160"/>
              <w:left w:type="dxa" w:w="200"/>
              <w:bottom w:type="dxa" w:w="160"/>
              <w:right w:type="dxa" w:w="200"/>
            </w:tcMar>
          </w:tcPr>
          <w:p>
            <w:pPr>
              <w:jc w:val="center"/>
            </w:pPr>
            <w:r>
              <w:rPr>
                <w:rFonts w:ascii="Arial" w:cs="Arial" w:eastAsia="Arial" w:hAnsi="Arial"/>
                <w:b/>
                <w:bCs/>
                <w:color w:val="C00000"/>
                <w:sz w:val="44"/>
                <w:szCs w:val="44"/>
              </w:rPr>
              <w:t xml:space="preserve">$46.2B</w:t>
            </w:r>
          </w:p>
          <w:p>
            <w:pPr>
              <w:jc w:val="center"/>
            </w:pPr>
            <w:r>
              <w:rPr>
                <w:rFonts w:ascii="Arial" w:cs="Arial" w:eastAsia="Arial" w:hAnsi="Arial"/>
                <w:b/>
                <w:bCs/>
                <w:color w:val="C00000"/>
                <w:sz w:val="18"/>
                <w:szCs w:val="18"/>
              </w:rPr>
              <w:t xml:space="preserve">Actual 2024-25 cost</w:t>
            </w:r>
          </w:p>
          <w:p>
            <w:pPr>
              <w:jc w:val="center"/>
            </w:pPr>
            <w:r>
              <w:rPr>
                <w:rFonts w:ascii="Arial" w:cs="Arial" w:eastAsia="Arial" w:hAnsi="Arial"/>
                <w:color w:val="595959"/>
                <w:sz w:val="16"/>
                <w:szCs w:val="16"/>
              </w:rPr>
              <w:t xml:space="preserve">340% over original forecast</w:t>
            </w:r>
          </w:p>
        </w:tc>
        <w:tc>
          <w:tcPr>
            <w:tcW w:type="dxa" w:w="80"/>
            <w:tcBorders>
              <w:top w:val="none" w:color="FFFFFF" w:sz="0"/>
              <w:left w:val="none" w:color="FFFFFF" w:sz="0"/>
              <w:bottom w:val="none" w:color="FFFFFF" w:sz="0"/>
              <w:right w:val="none" w:color="FFFFFF" w:sz="0"/>
            </w:tcBorders>
          </w:tcPr>
          <w:p>
            <w:r>
              <w:t xml:space="preserve"/>
            </w:r>
          </w:p>
        </w:tc>
        <w:tc>
          <w:tcPr>
            <w:tcW w:type="dxa" w:w="2800"/>
            <w:tcBorders>
              <w:top w:val="none" w:color="FFFFFF" w:sz="0"/>
              <w:left w:val="none" w:color="FFFFFF" w:sz="0"/>
              <w:bottom w:val="none" w:color="FFFFFF" w:sz="0"/>
              <w:right w:val="none" w:color="FFFFFF" w:sz="0"/>
            </w:tcBorders>
            <w:shd w:fill="FCE4E4" w:val="clear"/>
            <w:tcMar>
              <w:top w:type="dxa" w:w="160"/>
              <w:left w:type="dxa" w:w="200"/>
              <w:bottom w:type="dxa" w:w="160"/>
              <w:right w:type="dxa" w:w="200"/>
            </w:tcMar>
          </w:tcPr>
          <w:p>
            <w:pPr>
              <w:jc w:val="center"/>
            </w:pPr>
            <w:r>
              <w:rPr>
                <w:rFonts w:ascii="Arial" w:cs="Arial" w:eastAsia="Arial" w:hAnsi="Arial"/>
                <w:b/>
                <w:bCs/>
                <w:color w:val="C00000"/>
                <w:sz w:val="44"/>
                <w:szCs w:val="44"/>
              </w:rPr>
              <w:t xml:space="preserve">$105B</w:t>
            </w:r>
          </w:p>
          <w:p>
            <w:pPr>
              <w:jc w:val="center"/>
            </w:pPr>
            <w:r>
              <w:rPr>
                <w:rFonts w:ascii="Arial" w:cs="Arial" w:eastAsia="Arial" w:hAnsi="Arial"/>
                <w:b/>
                <w:bCs/>
                <w:color w:val="C00000"/>
                <w:sz w:val="18"/>
                <w:szCs w:val="18"/>
              </w:rPr>
              <w:t xml:space="preserve">Projected by 2030</w:t>
            </w:r>
          </w:p>
          <w:p>
            <w:pPr>
              <w:jc w:val="center"/>
            </w:pPr>
            <w:r>
              <w:rPr>
                <w:rFonts w:ascii="Arial" w:cs="Arial" w:eastAsia="Arial" w:hAnsi="Arial"/>
                <w:color w:val="595959"/>
                <w:sz w:val="16"/>
                <w:szCs w:val="16"/>
              </w:rPr>
              <w:t xml:space="preserve">even with current reforms</w:t>
            </w:r>
          </w:p>
        </w:tc>
        <w:tc>
          <w:tcPr>
            <w:tcW w:type="dxa" w:w="80"/>
            <w:tcBorders>
              <w:top w:val="none" w:color="FFFFFF" w:sz="0"/>
              <w:left w:val="none" w:color="FFFFFF" w:sz="0"/>
              <w:bottom w:val="none" w:color="FFFFFF" w:sz="0"/>
              <w:right w:val="none" w:color="FFFFFF" w:sz="0"/>
            </w:tcBorders>
          </w:tcPr>
          <w:p>
            <w:r>
              <w:t xml:space="preserve"/>
            </w:r>
          </w:p>
        </w:tc>
        <w:tc>
          <w:tcPr>
            <w:tcW w:type="dxa" w:w="386"/>
            <w:tcBorders>
              <w:top w:val="none" w:color="FFFFFF" w:sz="0"/>
              <w:left w:val="none" w:color="FFFFFF" w:sz="0"/>
              <w:bottom w:val="none" w:color="FFFFFF" w:sz="0"/>
              <w:right w:val="none" w:color="FFFFFF" w:sz="0"/>
            </w:tcBorders>
          </w:tcPr>
          <w:p>
            <w:r>
              <w:t xml:space="preserve"/>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
        <w:gridCol w:w="2800"/>
        <w:gridCol w:w="80"/>
        <w:gridCol w:w="2800"/>
        <w:gridCol w:w="80"/>
        <w:gridCol w:w="386"/>
      </w:tblGrid>
      <w:tr>
        <w:tc>
          <w:tcPr>
            <w:tcW w:type="dxa" w:w="280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jc w:val="center"/>
            </w:pPr>
            <w:r>
              <w:rPr>
                <w:rFonts w:ascii="Arial" w:cs="Arial" w:eastAsia="Arial" w:hAnsi="Arial"/>
                <w:b/>
                <w:bCs/>
                <w:color w:val="1F3864"/>
                <w:sz w:val="44"/>
                <w:szCs w:val="44"/>
              </w:rPr>
              <w:t xml:space="preserve">739,414</w:t>
            </w:r>
          </w:p>
          <w:p>
            <w:pPr>
              <w:jc w:val="center"/>
            </w:pPr>
            <w:r>
              <w:rPr>
                <w:rFonts w:ascii="Arial" w:cs="Arial" w:eastAsia="Arial" w:hAnsi="Arial"/>
                <w:b/>
                <w:bCs/>
                <w:color w:val="1F3864"/>
                <w:sz w:val="18"/>
                <w:szCs w:val="18"/>
              </w:rPr>
              <w:t xml:space="preserve">Participants (2025)</w:t>
            </w:r>
          </w:p>
          <w:p>
            <w:pPr>
              <w:jc w:val="center"/>
            </w:pPr>
            <w:r>
              <w:rPr>
                <w:rFonts w:ascii="Arial" w:cs="Arial" w:eastAsia="Arial" w:hAnsi="Arial"/>
                <w:color w:val="595959"/>
                <w:sz w:val="16"/>
                <w:szCs w:val="16"/>
              </w:rPr>
              <w:t xml:space="preserve">vs 411,000 originally forecast</w:t>
            </w:r>
          </w:p>
        </w:tc>
        <w:tc>
          <w:tcPr>
            <w:tcW w:type="dxa" w:w="80"/>
            <w:tcBorders>
              <w:top w:val="none" w:color="FFFFFF" w:sz="0"/>
              <w:left w:val="none" w:color="FFFFFF" w:sz="0"/>
              <w:bottom w:val="none" w:color="FFFFFF" w:sz="0"/>
              <w:right w:val="none" w:color="FFFFFF" w:sz="0"/>
            </w:tcBorders>
          </w:tcPr>
          <w:p>
            <w:r>
              <w:t xml:space="preserve"/>
            </w:r>
          </w:p>
        </w:tc>
        <w:tc>
          <w:tcPr>
            <w:tcW w:type="dxa" w:w="2800"/>
            <w:tcBorders>
              <w:top w:val="none" w:color="FFFFFF" w:sz="0"/>
              <w:left w:val="none" w:color="FFFFFF" w:sz="0"/>
              <w:bottom w:val="none" w:color="FFFFFF" w:sz="0"/>
              <w:right w:val="none" w:color="FFFFFF" w:sz="0"/>
            </w:tcBorders>
            <w:shd w:fill="FCE4E4" w:val="clear"/>
            <w:tcMar>
              <w:top w:type="dxa" w:w="160"/>
              <w:left w:type="dxa" w:w="200"/>
              <w:bottom w:type="dxa" w:w="160"/>
              <w:right w:type="dxa" w:w="200"/>
            </w:tcMar>
          </w:tcPr>
          <w:p>
            <w:pPr>
              <w:jc w:val="center"/>
            </w:pPr>
            <w:r>
              <w:rPr>
                <w:rFonts w:ascii="Arial" w:cs="Arial" w:eastAsia="Arial" w:hAnsi="Arial"/>
                <w:b/>
                <w:bCs/>
                <w:color w:val="C00000"/>
                <w:sz w:val="44"/>
                <w:szCs w:val="44"/>
              </w:rPr>
              <w:t xml:space="preserve">18,000+</w:t>
            </w:r>
          </w:p>
          <w:p>
            <w:pPr>
              <w:jc w:val="center"/>
            </w:pPr>
            <w:r>
              <w:rPr>
                <w:rFonts w:ascii="Arial" w:cs="Arial" w:eastAsia="Arial" w:hAnsi="Arial"/>
                <w:b/>
                <w:bCs/>
                <w:color w:val="C00000"/>
                <w:sz w:val="18"/>
                <w:szCs w:val="18"/>
              </w:rPr>
              <w:t xml:space="preserve">Registered providers</w:t>
            </w:r>
          </w:p>
          <w:p>
            <w:pPr>
              <w:jc w:val="center"/>
            </w:pPr>
            <w:r>
              <w:rPr>
                <w:rFonts w:ascii="Arial" w:cs="Arial" w:eastAsia="Arial" w:hAnsi="Arial"/>
                <w:color w:val="595959"/>
                <w:sz w:val="16"/>
                <w:szCs w:val="16"/>
              </w:rPr>
              <w:t xml:space="preserve">with minimal audit oversight</w:t>
            </w:r>
          </w:p>
        </w:tc>
        <w:tc>
          <w:tcPr>
            <w:tcW w:type="dxa" w:w="80"/>
            <w:tcBorders>
              <w:top w:val="none" w:color="FFFFFF" w:sz="0"/>
              <w:left w:val="none" w:color="FFFFFF" w:sz="0"/>
              <w:bottom w:val="none" w:color="FFFFFF" w:sz="0"/>
              <w:right w:val="none" w:color="FFFFFF" w:sz="0"/>
            </w:tcBorders>
          </w:tcPr>
          <w:p>
            <w:r>
              <w:t xml:space="preserve"/>
            </w:r>
          </w:p>
        </w:tc>
        <w:tc>
          <w:tcPr>
            <w:tcW w:type="dxa" w:w="2800"/>
            <w:tcBorders>
              <w:top w:val="none" w:color="FFFFFF" w:sz="0"/>
              <w:left w:val="none" w:color="FFFFFF" w:sz="0"/>
              <w:bottom w:val="none" w:color="FFFFFF" w:sz="0"/>
              <w:right w:val="none" w:color="FFFFFF" w:sz="0"/>
            </w:tcBorders>
            <w:shd w:fill="FFF9C4" w:val="clear"/>
            <w:tcMar>
              <w:top w:type="dxa" w:w="160"/>
              <w:left w:type="dxa" w:w="200"/>
              <w:bottom w:type="dxa" w:w="160"/>
              <w:right w:type="dxa" w:w="200"/>
            </w:tcMar>
          </w:tcPr>
          <w:p>
            <w:pPr>
              <w:jc w:val="center"/>
            </w:pPr>
            <w:r>
              <w:rPr>
                <w:rFonts w:ascii="Arial" w:cs="Arial" w:eastAsia="Arial" w:hAnsi="Arial"/>
                <w:b/>
                <w:bCs/>
                <w:color w:val="7B6000"/>
                <w:sz w:val="44"/>
                <w:szCs w:val="44"/>
              </w:rPr>
              <w:t xml:space="preserve">8%</w:t>
            </w:r>
          </w:p>
          <w:p>
            <w:pPr>
              <w:jc w:val="center"/>
            </w:pPr>
            <w:r>
              <w:rPr>
                <w:rFonts w:ascii="Arial" w:cs="Arial" w:eastAsia="Arial" w:hAnsi="Arial"/>
                <w:b/>
                <w:bCs/>
                <w:color w:val="7B6000"/>
                <w:sz w:val="18"/>
                <w:szCs w:val="18"/>
              </w:rPr>
              <w:t xml:space="preserve">Growth target by 2026</w:t>
            </w:r>
          </w:p>
          <w:p>
            <w:pPr>
              <w:jc w:val="center"/>
            </w:pPr>
            <w:r>
              <w:rPr>
                <w:rFonts w:ascii="Arial" w:cs="Arial" w:eastAsia="Arial" w:hAnsi="Arial"/>
                <w:color w:val="595959"/>
                <w:sz w:val="16"/>
                <w:szCs w:val="16"/>
              </w:rPr>
              <w:t xml:space="preserve">still unsustainable long-term</w:t>
            </w:r>
          </w:p>
        </w:tc>
        <w:tc>
          <w:tcPr>
            <w:tcW w:type="dxa" w:w="80"/>
            <w:tcBorders>
              <w:top w:val="none" w:color="FFFFFF" w:sz="0"/>
              <w:left w:val="none" w:color="FFFFFF" w:sz="0"/>
              <w:bottom w:val="none" w:color="FFFFFF" w:sz="0"/>
              <w:right w:val="none" w:color="FFFFFF" w:sz="0"/>
            </w:tcBorders>
          </w:tcPr>
          <w:p>
            <w:r>
              <w:t xml:space="preserve"/>
            </w:r>
          </w:p>
        </w:tc>
        <w:tc>
          <w:tcPr>
            <w:tcW w:type="dxa" w:w="386"/>
            <w:tcBorders>
              <w:top w:val="none" w:color="FFFFFF" w:sz="0"/>
              <w:left w:val="none" w:color="FFFFFF" w:sz="0"/>
              <w:bottom w:val="none" w:color="FFFFFF" w:sz="0"/>
              <w:right w:val="none" w:color="FFFFFF" w:sz="0"/>
            </w:tcBorders>
          </w:tcPr>
          <w:p>
            <w:r>
              <w:t xml:space="preserve"/>
            </w:r>
          </w:p>
        </w:tc>
      </w:tr>
    </w:tbl>
    <w:p>
      <w:pPr>
        <w:spacing w:after="0" w:before="4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Executive Summary</w:t>
      </w:r>
    </w:p>
    <w:p>
      <w:pPr>
        <w:spacing w:after="120" w:before="80" w:line="276"/>
        <w:jc w:val="both"/>
      </w:pPr>
      <w:r>
        <w:rPr>
          <w:rFonts w:ascii="Arial" w:cs="Arial" w:eastAsia="Arial" w:hAnsi="Arial"/>
          <w:color w:val="000000"/>
          <w:sz w:val="22"/>
          <w:szCs w:val="22"/>
        </w:rPr>
        <w:t xml:space="preserve">The National Disability Insurance Scheme was launched in 2013 with the explicit framing of an insurance model — disciplined, actuarially grounded, and outcome-focused. Twelve years later, the scheme costs $46.2 billion annually, is projected to reach $105 billion by 2030 even under current reforms, and supports nearly double the number of participants originally forecast. This paper argues that the core problem is not administration, fraud, or participant numbers in isolation — it is a fundamental design failure that borrowed the language of insurance without adopting any of its structural discipline.</w:t>
      </w:r>
    </w:p>
    <w:p>
      <w:pPr>
        <w:spacing w:after="0" w:before="80"/>
      </w:pPr>
      <w:r>
        <w:t xml:space="preserve"/>
      </w:r>
    </w:p>
    <w:p>
      <w:pPr>
        <w:spacing w:after="120" w:before="80" w:line="276"/>
        <w:jc w:val="both"/>
      </w:pPr>
      <w:r>
        <w:rPr>
          <w:rFonts w:ascii="Arial" w:cs="Arial" w:eastAsia="Arial" w:hAnsi="Arial"/>
          <w:color w:val="000000"/>
          <w:sz w:val="22"/>
          <w:szCs w:val="22"/>
        </w:rPr>
        <w:t xml:space="preserve">Current government reforms — while producing modest stabilisation — address symptoms rather than causes. Reducing growth from 22% to 8% annually is not reform; it is slowing the rate of structural failure. At 8% growth, the NDIS will still become the largest single line item in the Commonwealth budget within a decade.</w:t>
      </w:r>
    </w:p>
    <w:p>
      <w:pPr>
        <w:spacing w:after="0" w:before="80"/>
      </w:pPr>
      <w:r>
        <w:t xml:space="preserve"/>
      </w:r>
    </w:p>
    <w:p>
      <w:pPr>
        <w:spacing w:after="120" w:before="80" w:line="276"/>
        <w:jc w:val="both"/>
      </w:pPr>
      <w:r>
        <w:rPr>
          <w:rFonts w:ascii="Arial" w:cs="Arial" w:eastAsia="Arial" w:hAnsi="Arial"/>
          <w:color w:val="000000"/>
          <w:sz w:val="22"/>
          <w:szCs w:val="22"/>
        </w:rPr>
        <w:t xml:space="preserve">This paper proposes a genuine return to insurance principles through a three-tier structural redesign, independent actuarial governance, and a foundational supports framework that removes inappropriately placed cohorts from the individualised market without abandoning their needs.</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1. The Design Failure: Insurance Without Actuarial Discipline</w:t>
      </w:r>
    </w:p>
    <w:p>
      <w:pPr>
        <w:pStyle w:val="Heading2"/>
        <w:spacing w:after="80" w:before="240"/>
      </w:pPr>
      <w:r>
        <w:rPr>
          <w:rFonts w:ascii="Arial" w:cs="Arial" w:eastAsia="Arial" w:hAnsi="Arial"/>
          <w:b/>
          <w:bCs/>
          <w:color w:val="2E75B6"/>
          <w:sz w:val="24"/>
          <w:szCs w:val="24"/>
        </w:rPr>
        <w:t xml:space="preserve">1.1 What an Insurance Scheme Actually Requires</w:t>
      </w:r>
    </w:p>
    <w:p>
      <w:pPr>
        <w:spacing w:after="120" w:before="80" w:line="276"/>
        <w:jc w:val="both"/>
      </w:pPr>
      <w:r>
        <w:rPr>
          <w:rFonts w:ascii="Arial" w:cs="Arial" w:eastAsia="Arial" w:hAnsi="Arial"/>
          <w:color w:val="000000"/>
          <w:sz w:val="22"/>
          <w:szCs w:val="22"/>
        </w:rPr>
        <w:t xml:space="preserve">The word 'insurance' carries specific structural implications that the NDIS has never honoured. A functioning insurance scheme requires four elements that work together as an integrated system:</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Insurance Principle</w:t>
            </w:r>
          </w:p>
        </w:tc>
        <w:tc>
          <w:tcPr>
            <w:tcW w:type="dxa" w:w="3313"/>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How a Real Scheme Applies It</w:t>
            </w:r>
          </w:p>
        </w:tc>
        <w:tc>
          <w:tcPr>
            <w:tcW w:type="dxa" w:w="3313"/>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What the NDIS Actually Does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Actuarial liability modelling</w:t>
            </w:r>
          </w:p>
        </w:tc>
        <w:tc>
          <w:tcPr>
            <w:tcW w:type="dxa" w:w="33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Long-term liability is calculated upfront and funded accordingly</w:t>
            </w:r>
          </w:p>
        </w:tc>
        <w:tc>
          <w:tcPr>
            <w:tcW w:type="dxa" w:w="33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60"/>
            </w:tcMar>
          </w:tcPr>
          <w:p>
            <w:r>
              <w:rPr>
                <w:rFonts w:ascii="Arial" w:cs="Arial" w:eastAsia="Arial" w:hAnsi="Arial"/>
                <w:color w:val="C00000"/>
                <w:sz w:val="20"/>
                <w:szCs w:val="20"/>
              </w:rPr>
              <w:t xml:space="preserve">Original liability was underestimated by 300%. No actuarial correction mechanism exists.</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Defined eligibility boundaries</w:t>
            </w:r>
          </w:p>
        </w:tc>
        <w:tc>
          <w:tcPr>
            <w:tcW w:type="dxa" w:w="3313"/>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Clear, clinical criteria determine who qualifies for a claim</w:t>
            </w:r>
          </w:p>
        </w:tc>
        <w:tc>
          <w:tcPr>
            <w:tcW w:type="dxa" w:w="33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60"/>
            </w:tcMar>
          </w:tcPr>
          <w:p>
            <w:r>
              <w:rPr>
                <w:rFonts w:ascii="Arial" w:cs="Arial" w:eastAsia="Arial" w:hAnsi="Arial"/>
                <w:color w:val="C00000"/>
                <w:sz w:val="20"/>
                <w:szCs w:val="20"/>
              </w:rPr>
              <w:t xml:space="preserve">Eligibility has expanded politically, not clinically. Boundaries are contested and inconsistently applied.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Outcome measures and claim closure</w:t>
            </w:r>
          </w:p>
        </w:tc>
        <w:tc>
          <w:tcPr>
            <w:tcW w:type="dxa" w:w="33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Claims close when outcomes are achieved or circumstances change</w:t>
            </w:r>
          </w:p>
        </w:tc>
        <w:tc>
          <w:tcPr>
            <w:tcW w:type="dxa" w:w="33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60"/>
            </w:tcMar>
          </w:tcPr>
          <w:p>
            <w:r>
              <w:rPr>
                <w:rFonts w:ascii="Arial" w:cs="Arial" w:eastAsia="Arial" w:hAnsi="Arial"/>
                <w:color w:val="C00000"/>
                <w:sz w:val="20"/>
                <w:szCs w:val="20"/>
              </w:rPr>
              <w:t xml:space="preserve">Plans grow automatically over time. Average plan budgets for 8-year participants have doubled from entry.</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Regulated supply-side pricing</w:t>
            </w:r>
          </w:p>
        </w:tc>
        <w:tc>
          <w:tcPr>
            <w:tcW w:type="dxa" w:w="3313"/>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Providers are accredited, audited, and prices are benchmarked</w:t>
            </w:r>
          </w:p>
        </w:tc>
        <w:tc>
          <w:tcPr>
            <w:tcW w:type="dxa" w:w="33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60"/>
            </w:tcMar>
          </w:tcPr>
          <w:p>
            <w:r>
              <w:rPr>
                <w:rFonts w:ascii="Arial" w:cs="Arial" w:eastAsia="Arial" w:hAnsi="Arial"/>
                <w:color w:val="C00000"/>
                <w:sz w:val="20"/>
                <w:szCs w:val="20"/>
              </w:rPr>
              <w:t xml:space="preserve">18,000+ registered providers. The NDIS Commission has insufficient resources to audit a fraction of them.</w:t>
            </w:r>
          </w:p>
        </w:tc>
      </w:tr>
    </w:tbl>
    <w:p>
      <w:pPr>
        <w:spacing w:after="0" w:before="160"/>
      </w:pPr>
      <w:r>
        <w:t xml:space="preserve"/>
      </w:r>
    </w:p>
    <w:p>
      <w:pPr>
        <w:spacing w:after="120" w:before="80" w:line="276"/>
        <w:jc w:val="both"/>
      </w:pPr>
      <w:r>
        <w:rPr>
          <w:rFonts w:ascii="Arial" w:cs="Arial" w:eastAsia="Arial" w:hAnsi="Arial"/>
          <w:color w:val="000000"/>
          <w:sz w:val="22"/>
          <w:szCs w:val="22"/>
        </w:rPr>
        <w:t xml:space="preserve">On every single dimension that defines a real insurance scheme, the NDIS fails the test. It inherited the name and the political capital of the insurance framing while rejecting its operational discipline. The consequence is a scheme that grows structurally — not because demand is increasing, but because there is no mechanism to contain it.</w:t>
      </w:r>
    </w:p>
    <w:p>
      <w:pPr>
        <w:spacing w:after="0" w:before="300"/>
      </w:pPr>
      <w:r>
        <w:t xml:space="preserve"/>
      </w:r>
    </w:p>
    <w:p>
      <w:pPr>
        <w:pStyle w:val="Heading2"/>
        <w:spacing w:after="80" w:before="240"/>
      </w:pPr>
      <w:r>
        <w:rPr>
          <w:rFonts w:ascii="Arial" w:cs="Arial" w:eastAsia="Arial" w:hAnsi="Arial"/>
          <w:b/>
          <w:bCs/>
          <w:color w:val="2E75B6"/>
          <w:sz w:val="24"/>
          <w:szCs w:val="24"/>
        </w:rPr>
        <w:t xml:space="preserve">1.2 The Comparable Model That Works</w:t>
      </w:r>
    </w:p>
    <w:p>
      <w:pPr>
        <w:spacing w:after="120" w:before="80" w:line="276"/>
        <w:jc w:val="both"/>
      </w:pPr>
      <w:r>
        <w:rPr>
          <w:rFonts w:ascii="Arial" w:cs="Arial" w:eastAsia="Arial" w:hAnsi="Arial"/>
          <w:color w:val="000000"/>
          <w:sz w:val="22"/>
          <w:szCs w:val="22"/>
        </w:rPr>
        <w:t xml:space="preserve">The National Injury Insurance Scheme (NIIS) — which covers catastrophic injuries from motor accidents and medical negligence — demonstrates that genuine insurance discipline is achievable in an Australian disability context. The NIIS features independent actuarial oversight, defined liability, case-managed outcomes, and exit pathways where recovery permits. It is not perfect, but it is structurally coherent in a way the NDIS is not.</w:t>
      </w:r>
    </w:p>
    <w:p>
      <w:pPr>
        <w:spacing w:after="0" w:before="80"/>
      </w:pPr>
      <w:r>
        <w:t xml:space="preserve"/>
      </w:r>
    </w:p>
    <w:p>
      <w:pPr>
        <w:spacing w:after="120" w:before="80" w:line="276"/>
        <w:jc w:val="both"/>
      </w:pPr>
      <w:r>
        <w:rPr>
          <w:rFonts w:ascii="Arial" w:cs="Arial" w:eastAsia="Arial" w:hAnsi="Arial"/>
          <w:color w:val="000000"/>
          <w:sz w:val="22"/>
          <w:szCs w:val="22"/>
        </w:rPr>
        <w:t xml:space="preserve">The critical question policymakers have never answered publicly is: why were the structural disciplines of the NIIS not applied to the NDIS from the outset? The answer is political. An insurance framing with genuine exit points is harder to sell to disability advocates than an open-ended entitlement. The compromise — calling it insurance while designing it as an entitlement — is the source of the current crisis.</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2. Where the Money Is Actually Going</w:t>
      </w:r>
    </w:p>
    <w:p>
      <w:pPr>
        <w:pStyle w:val="Heading2"/>
        <w:spacing w:after="80" w:before="240"/>
      </w:pPr>
      <w:r>
        <w:rPr>
          <w:rFonts w:ascii="Arial" w:cs="Arial" w:eastAsia="Arial" w:hAnsi="Arial"/>
          <w:b/>
          <w:bCs/>
          <w:color w:val="2E75B6"/>
          <w:sz w:val="24"/>
          <w:szCs w:val="24"/>
        </w:rPr>
        <w:t xml:space="preserve">2.1 The Provider Market Problem</w:t>
      </w:r>
    </w:p>
    <w:p>
      <w:pPr>
        <w:spacing w:after="120" w:before="80" w:line="276"/>
        <w:jc w:val="both"/>
      </w:pPr>
      <w:r>
        <w:rPr>
          <w:rFonts w:ascii="Arial" w:cs="Arial" w:eastAsia="Arial" w:hAnsi="Arial"/>
          <w:color w:val="000000"/>
          <w:sz w:val="22"/>
          <w:szCs w:val="22"/>
        </w:rPr>
        <w:t xml:space="preserve">The NDIS created a market where it did not need to. By giving participants individual budgets and allowing them to spend with any registered provider, the scheme inadvertently created conditions for systematic extraction. The National Audit Office concluded that prior to 2024, the NDIS lacked basic prevention controls for fraud and non-compliance. This is not a peripheral issue — it reflects a structural design choice that prioritised participant choice over market integrity.</w:t>
      </w:r>
    </w:p>
    <w:p>
      <w:pPr>
        <w:spacing w:after="0" w:before="80"/>
      </w:pPr>
      <w:r>
        <w:t xml:space="preserve"/>
      </w:r>
    </w:p>
    <w:p>
      <w:pPr>
        <w:spacing w:after="120" w:before="80" w:line="276"/>
        <w:jc w:val="both"/>
      </w:pPr>
      <w:r>
        <w:rPr>
          <w:rFonts w:ascii="Arial" w:cs="Arial" w:eastAsia="Arial" w:hAnsi="Arial"/>
          <w:color w:val="000000"/>
          <w:sz w:val="22"/>
          <w:szCs w:val="22"/>
        </w:rPr>
        <w:t xml:space="preserve">Since June 2024, the government's Crack Down on Fraud program has stopped over $56 million in fraudulent claims and launched more than 600 investigations. While welcome, these figures are revealing in what they imply about the scale of what went undetected for over a decade. $56 million stopped represents a fraction of the estimated systemic leakage across 18,000 providers processing 500,000 claims per day.</w:t>
      </w:r>
    </w:p>
    <w:p>
      <w:pPr>
        <w:spacing w:after="0" w:before="80"/>
      </w:pPr>
      <w:r>
        <w:t xml:space="preserve"/>
      </w:r>
    </w:p>
    <w:p>
      <w:pPr>
        <w:pStyle w:val="Heading2"/>
        <w:spacing w:after="80" w:before="240"/>
      </w:pPr>
      <w:r>
        <w:rPr>
          <w:rFonts w:ascii="Arial" w:cs="Arial" w:eastAsia="Arial" w:hAnsi="Arial"/>
          <w:b/>
          <w:bCs/>
          <w:color w:val="2E75B6"/>
          <w:sz w:val="24"/>
          <w:szCs w:val="24"/>
        </w:rPr>
        <w:t xml:space="preserve">2.2 The Plan Inflation Problem</w:t>
      </w:r>
    </w:p>
    <w:p>
      <w:pPr>
        <w:spacing w:after="120" w:before="80" w:line="276"/>
        <w:jc w:val="both"/>
      </w:pPr>
      <w:r>
        <w:rPr>
          <w:rFonts w:ascii="Arial" w:cs="Arial" w:eastAsia="Arial" w:hAnsi="Arial"/>
          <w:color w:val="000000"/>
          <w:sz w:val="22"/>
          <w:szCs w:val="22"/>
        </w:rPr>
        <w:t xml:space="preserve">Average plan budgets for participants who entered the NDIS in 2018 have doubled over eight years — from $61,300 in year one to $123,300 by year eight. This is not explained by deteriorating conditions alone. It reflects a planning culture in which annual reviews default to increase, providers have financial incentives to encourage higher allocations, and there is no independent clinical check on whether increased spending correlates with improved outcomes.</w:t>
      </w:r>
    </w:p>
    <w:p>
      <w:pPr>
        <w:spacing w:after="0" w:before="80"/>
      </w:pPr>
      <w:r>
        <w:t xml:space="preserve"/>
      </w:r>
    </w:p>
    <w:p>
      <w:pPr>
        <w:spacing w:after="120" w:before="80" w:line="276"/>
        <w:jc w:val="both"/>
      </w:pPr>
      <w:r>
        <w:rPr>
          <w:rFonts w:ascii="Arial" w:cs="Arial" w:eastAsia="Arial" w:hAnsi="Arial"/>
          <w:color w:val="000000"/>
          <w:sz w:val="22"/>
          <w:szCs w:val="22"/>
        </w:rPr>
        <w:t xml:space="preserve">The scheme's own data shows that 80% of participants report greater choice and control — which is a positive outcome. However, choice and control is not the same as functional improvement, workforce participation, or reduced dependency. The outcome measures that would justify increasing plan expenditure over time simply do not exist in any systematic form.</w:t>
      </w:r>
    </w:p>
    <w:p>
      <w:pPr>
        <w:spacing w:after="0" w:before="80"/>
      </w:pPr>
      <w:r>
        <w:t xml:space="preserve"/>
      </w:r>
    </w:p>
    <w:p>
      <w:pPr>
        <w:pStyle w:val="Heading2"/>
        <w:spacing w:after="80" w:before="240"/>
      </w:pPr>
      <w:r>
        <w:rPr>
          <w:rFonts w:ascii="Arial" w:cs="Arial" w:eastAsia="Arial" w:hAnsi="Arial"/>
          <w:b/>
          <w:bCs/>
          <w:color w:val="2E75B6"/>
          <w:sz w:val="24"/>
          <w:szCs w:val="24"/>
        </w:rPr>
        <w:t xml:space="preserve">2.3 The Eligibility Drift Problem</w:t>
      </w:r>
    </w:p>
    <w:p>
      <w:pPr>
        <w:spacing w:after="120" w:before="80" w:line="276"/>
        <w:jc w:val="both"/>
      </w:pPr>
      <w:r>
        <w:rPr>
          <w:rFonts w:ascii="Arial" w:cs="Arial" w:eastAsia="Arial" w:hAnsi="Arial"/>
          <w:color w:val="000000"/>
          <w:sz w:val="22"/>
          <w:szCs w:val="22"/>
        </w:rPr>
        <w:t xml:space="preserve">The original scheme was designed for Australians with severe and permanent disability — roughly 411,000 people. There are now 739,414 participants, representing growth of 80% above the original forecast. A significant portion of this growth comes from cohorts the scheme was not designed to serve — mild to moderate autism, psychosocial disability, and developmental delay in children — not because these people do not need support, but because the NDIS became the only available source of support when state and territory community services were progressively defunded.</w:t>
      </w:r>
    </w:p>
    <w:p>
      <w:pPr>
        <w:spacing w:after="0" w:before="80"/>
      </w:pPr>
      <w:r>
        <w:t xml:space="preserve"/>
      </w:r>
    </w:p>
    <w:p>
      <w:pPr>
        <w:spacing w:after="120" w:before="80" w:line="276"/>
        <w:jc w:val="both"/>
      </w:pPr>
      <w:r>
        <w:rPr>
          <w:rFonts w:ascii="Arial" w:cs="Arial" w:eastAsia="Arial" w:hAnsi="Arial"/>
          <w:color w:val="000000"/>
          <w:sz w:val="22"/>
          <w:szCs w:val="22"/>
        </w:rPr>
        <w:t xml:space="preserve">This is a critical and underappreciated dynamic. The NDIS did not simply attract more participants — it absorbed the caseload of an entire tier of community services that governments quietly abandoned. The scheme became, as one researcher described it, 'the oasis in the desert.' Fixing the NDIS without rebuilding that broader support ecosystem will simply shift the problem, not solve it.</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3. The Reform Proposal: Returning to Insurance Principles</w:t>
      </w:r>
    </w:p>
    <w:p>
      <w:pPr>
        <w:pStyle w:val="Heading2"/>
        <w:spacing w:after="80" w:before="240"/>
      </w:pPr>
      <w:r>
        <w:rPr>
          <w:rFonts w:ascii="Arial" w:cs="Arial" w:eastAsia="Arial" w:hAnsi="Arial"/>
          <w:b/>
          <w:bCs/>
          <w:color w:val="2E75B6"/>
          <w:sz w:val="24"/>
          <w:szCs w:val="24"/>
        </w:rPr>
        <w:t xml:space="preserve">3.1 What Current Reforms Are and Are Not Doing</w:t>
      </w:r>
    </w:p>
    <w:p>
      <w:pPr>
        <w:spacing w:after="120" w:before="80" w:line="276"/>
        <w:jc w:val="both"/>
      </w:pPr>
      <w:r>
        <w:rPr>
          <w:rFonts w:ascii="Arial" w:cs="Arial" w:eastAsia="Arial" w:hAnsi="Arial"/>
          <w:color w:val="000000"/>
          <w:sz w:val="22"/>
          <w:szCs w:val="22"/>
        </w:rPr>
        <w:t xml:space="preserve">The government's current reform agenda — legislated through the NDIS Amendment (Getting the NDIS Back on Track) Act 2024 — has produced real results. Annual growth has moderated from 22% to approximately 10%. Fraud crackdowns have begun. A foundational supports framework is in development.</w:t>
      </w:r>
    </w:p>
    <w:p>
      <w:pPr>
        <w:spacing w:after="0" w:before="80"/>
      </w:pPr>
      <w:r>
        <w:t xml:space="preserve"/>
      </w:r>
    </w:p>
    <w:p>
      <w:pPr>
        <w:spacing w:after="120" w:before="80" w:line="276"/>
        <w:jc w:val="both"/>
      </w:pPr>
      <w:r>
        <w:rPr>
          <w:rFonts w:ascii="Arial" w:cs="Arial" w:eastAsia="Arial" w:hAnsi="Arial"/>
          <w:color w:val="000000"/>
          <w:sz w:val="22"/>
          <w:szCs w:val="22"/>
        </w:rPr>
        <w:t xml:space="preserve">However, the target growth rate of 8% by July 2026 — celebrated as a significant achievement — is explicitly acknowledged by the Department of Finance as an interim target only. At 8% growth, the scheme will still cost $58 billion by 2028 and $105 billion by 2030. These are not sustainable trajectories. The reforms have slowed the vehicle; they have not changed the direction.</w:t>
      </w:r>
    </w:p>
    <w:p>
      <w:pPr>
        <w:spacing w:after="0" w:before="80"/>
      </w:pPr>
      <w:r>
        <w:t xml:space="preserve"/>
      </w:r>
    </w:p>
    <w:p>
      <w:pPr>
        <w:pStyle w:val="Heading2"/>
        <w:spacing w:after="80" w:before="240"/>
      </w:pPr>
      <w:r>
        <w:rPr>
          <w:rFonts w:ascii="Arial" w:cs="Arial" w:eastAsia="Arial" w:hAnsi="Arial"/>
          <w:b/>
          <w:bCs/>
          <w:color w:val="2E75B6"/>
          <w:sz w:val="24"/>
          <w:szCs w:val="24"/>
        </w:rPr>
        <w:t xml:space="preserve">3.2 The Three-Tier Structural Redesign</w:t>
      </w:r>
    </w:p>
    <w:p>
      <w:pPr>
        <w:spacing w:after="120" w:before="80" w:line="276"/>
        <w:jc w:val="both"/>
      </w:pPr>
      <w:r>
        <w:rPr>
          <w:rFonts w:ascii="Arial" w:cs="Arial" w:eastAsia="Arial" w:hAnsi="Arial"/>
          <w:color w:val="000000"/>
          <w:sz w:val="22"/>
          <w:szCs w:val="22"/>
        </w:rPr>
        <w:t xml:space="preserve">This paper proposes a fundamental restructuring of the NDIS into three clearly defined tiers, each with appropriate governance, funding models, and outcome frameworks: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13"/>
        <w:gridCol w:w="2613"/>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Target Cohort</w:t>
            </w:r>
          </w:p>
        </w:tc>
        <w:tc>
          <w:tcPr>
            <w:tcW w:type="dxa" w:w="2613"/>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Funding Model</w:t>
            </w:r>
          </w:p>
        </w:tc>
        <w:tc>
          <w:tcPr>
            <w:tcW w:type="dxa" w:w="2613"/>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Key Reform</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Tier 1: Core NDIS</w:t>
            </w:r>
          </w:p>
        </w:tc>
        <w:tc>
          <w:tcPr>
            <w:tcW w:type="dxa" w:w="22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sz w:val="20"/>
                <w:szCs w:val="20"/>
              </w:rPr>
              <w:t xml:space="preserve">Severe and permanent physical, cognitive, neurological disability requiring lifetime support</w:t>
            </w:r>
          </w:p>
        </w:tc>
        <w:tc>
          <w:tcPr>
            <w:tcW w:type="dxa" w:w="2613"/>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sz w:val="20"/>
                <w:szCs w:val="20"/>
              </w:rPr>
              <w:t xml:space="preserve">Individualised plans with full actuarial oversight. Independent clinical planning. Audited providers only.</w:t>
            </w:r>
          </w:p>
        </w:tc>
        <w:tc>
          <w:tcPr>
            <w:tcW w:type="dxa" w:w="2613"/>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sz w:val="20"/>
                <w:szCs w:val="20"/>
              </w:rPr>
              <w:t xml:space="preserve">Genuine insurance discipline applied to the cohort it was always intended for</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Tier 2: Foundational Supports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0"/>
                <w:szCs w:val="20"/>
              </w:rPr>
              <w:t xml:space="preserve">Mild-moderate disability, psychosocial conditions, neurodevelopmental needs</w:t>
            </w:r>
          </w:p>
        </w:tc>
        <w:tc>
          <w:tcPr>
            <w:tcW w:type="dxa" w:w="2613"/>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0"/>
                <w:szCs w:val="20"/>
              </w:rPr>
              <w:t xml:space="preserve">Block-funded through states and territories. Delivered via community health and mental health infrastructure.</w:t>
            </w:r>
          </w:p>
        </w:tc>
        <w:tc>
          <w:tcPr>
            <w:tcW w:type="dxa" w:w="2613"/>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0"/>
                <w:szCs w:val="20"/>
              </w:rPr>
              <w:t xml:space="preserve">Removes individualised market dynamic from cohorts where it creates most harm</w:t>
            </w:r>
          </w:p>
        </w:tc>
      </w:tr>
      <w:tr>
        <w:tc>
          <w:tcPr>
            <w:tcW w:type="dxa" w:w="160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b/>
                <w:bCs/>
                <w:color w:val="7B6000"/>
                <w:sz w:val="20"/>
                <w:szCs w:val="20"/>
              </w:rPr>
              <w:t xml:space="preserve">Tier 3: Early Intervention</w:t>
            </w:r>
          </w:p>
        </w:tc>
        <w:tc>
          <w:tcPr>
            <w:tcW w:type="dxa" w:w="220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Children and young people where early support can prevent long-term NDIS dependence</w:t>
            </w:r>
          </w:p>
        </w:tc>
        <w:tc>
          <w:tcPr>
            <w:tcW w:type="dxa" w:w="2613"/>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Time-limited funding (3-5 years) with outcome measures. Graduated exit pathway if outcomes met.</w:t>
            </w:r>
          </w:p>
        </w:tc>
        <w:tc>
          <w:tcPr>
            <w:tcW w:type="dxa" w:w="2613"/>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sz w:val="20"/>
                <w:szCs w:val="20"/>
              </w:rPr>
              <w:t xml:space="preserve">Converts the scheme's best investment opportunity into a genuine pathway out of dependency</w:t>
            </w:r>
          </w:p>
        </w:tc>
      </w:tr>
    </w:tbl>
    <w:p>
      <w:pPr>
        <w:spacing w:after="0" w:before="200"/>
      </w:pPr>
      <w:r>
        <w:t xml:space="preserve"/>
      </w:r>
    </w:p>
    <w:p>
      <w:pPr>
        <w:pStyle w:val="Heading2"/>
        <w:spacing w:after="80" w:before="240"/>
      </w:pPr>
      <w:r>
        <w:rPr>
          <w:rFonts w:ascii="Arial" w:cs="Arial" w:eastAsia="Arial" w:hAnsi="Arial"/>
          <w:b/>
          <w:bCs/>
          <w:color w:val="2E75B6"/>
          <w:sz w:val="24"/>
          <w:szCs w:val="24"/>
        </w:rPr>
        <w:t xml:space="preserve">3.3 Independent Actuarial Governance</w:t>
      </w:r>
    </w:p>
    <w:p>
      <w:pPr>
        <w:spacing w:after="120" w:before="80" w:line="276"/>
        <w:jc w:val="both"/>
      </w:pPr>
      <w:r>
        <w:rPr>
          <w:rFonts w:ascii="Arial" w:cs="Arial" w:eastAsia="Arial" w:hAnsi="Arial"/>
          <w:color w:val="000000"/>
          <w:sz w:val="22"/>
          <w:szCs w:val="22"/>
        </w:rPr>
        <w:t xml:space="preserve">The single most important structural reform is the establishment of an independent NDIS Actuary — modelled on the Intergenerational Report framework — with a statutory duty to publish annual liability assessments and growth sustainability reports that are binding on the government's forward estimates process. Currently, actuarial analysis exists within the NDIA but has no independent standing and no binding relationship to budget policy. This must change.</w:t>
      </w:r>
    </w:p>
    <w:p>
      <w:pPr>
        <w:spacing w:after="0" w:before="80"/>
      </w:pPr>
      <w:r>
        <w:t xml:space="preserve"/>
      </w:r>
    </w:p>
    <w:p>
      <w:pPr>
        <w:pStyle w:val="Heading2"/>
        <w:spacing w:after="80" w:before="240"/>
      </w:pPr>
      <w:r>
        <w:rPr>
          <w:rFonts w:ascii="Arial" w:cs="Arial" w:eastAsia="Arial" w:hAnsi="Arial"/>
          <w:b/>
          <w:bCs/>
          <w:color w:val="2E75B6"/>
          <w:sz w:val="24"/>
          <w:szCs w:val="24"/>
        </w:rPr>
        <w:t xml:space="preserve">3.4 Provider Market Reform</w:t>
      </w:r>
    </w:p>
    <w:p>
      <w:pPr>
        <w:spacing w:after="120" w:before="80" w:line="276"/>
        <w:jc w:val="both"/>
      </w:pPr>
      <w:r>
        <w:rPr>
          <w:rFonts w:ascii="Arial" w:cs="Arial" w:eastAsia="Arial" w:hAnsi="Arial"/>
          <w:color w:val="000000"/>
          <w:sz w:val="22"/>
          <w:szCs w:val="22"/>
        </w:rPr>
        <w:t xml:space="preserve">The provider registration system must be rebuilt from a notification model to a genuine licensing model. This means: mandatory annual financial audits for providers above a defined revenue threshold; outcome reporting requirements tied to licence renewal; real-time claims monitoring with automated flags for billing anomalies; and a publicly searchable provider performance register. The $151 million committed over four years for fraud crackdowns is a start — but it funds detection, not prevention. The licensing reform funds prevention.</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4. The Radical Alternative: Managed Competition</w:t>
      </w:r>
    </w:p>
    <w:p>
      <w:pPr>
        <w:spacing w:after="120" w:before="80" w:line="276"/>
        <w:jc w:val="both"/>
      </w:pPr>
      <w:r>
        <w:rPr>
          <w:rFonts w:ascii="Arial" w:cs="Arial" w:eastAsia="Arial" w:hAnsi="Arial"/>
          <w:color w:val="000000"/>
          <w:sz w:val="22"/>
          <w:szCs w:val="22"/>
        </w:rPr>
        <w:t xml:space="preserve">The three-tier reform proposed in Section 3 represents the most politically achievable path to structural repair. However, intellectual honesty requires examining a more fundamental alternative — one that no major party has been willing to seriously propose, but which addresses the scheme's core dysfunction more directly than any incremental reform.</w:t>
      </w:r>
    </w:p>
    <w:p>
      <w:pPr>
        <w:spacing w:after="0" w:before="80"/>
      </w:pPr>
      <w:r>
        <w:t xml:space="preserve"/>
      </w:r>
    </w:p>
    <w:p>
      <w:pPr>
        <w:spacing w:after="120" w:before="80" w:line="276"/>
        <w:jc w:val="both"/>
      </w:pPr>
      <w:r>
        <w:rPr>
          <w:rFonts w:ascii="Arial" w:cs="Arial" w:eastAsia="Arial" w:hAnsi="Arial"/>
          <w:color w:val="000000"/>
          <w:sz w:val="22"/>
          <w:szCs w:val="22"/>
        </w:rPr>
        <w:t xml:space="preserve">The proposition is straightforward: the NDIS has no entity within its structure whose financial survival depends on it working efficiently. The NDIA is a government agency — its budget grows when costs grow. Providers profit from higher plan values. Even support coordinators, who are supposed to help participants navigate the system, are paid from participant plans and therefore have a structural incentive to maximise spend. Nobody in the system is rewarded for efficiency. A managed competition model changes that fundamental dynamic.</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4.1 The Case for Private Insurance Involvement</w:t>
      </w:r>
    </w:p>
    <w:p>
      <w:pPr>
        <w:spacing w:after="120" w:before="80" w:line="276"/>
        <w:jc w:val="both"/>
      </w:pPr>
      <w:r>
        <w:rPr>
          <w:rFonts w:ascii="Arial" w:cs="Arial" w:eastAsia="Arial" w:hAnsi="Arial"/>
          <w:color w:val="000000"/>
          <w:sz w:val="22"/>
          <w:szCs w:val="22"/>
        </w:rPr>
        <w:t xml:space="preserve">Private insurers have one characteristic the NDIA lacks entirely: skin in the game. An insurer that pays out more than it collects fails. That incentive — brutal as it sounds — creates the audit rigour, provider accountability, and outcome focus that the NDIS has never been able to manufacture through regulation alone.</w:t>
      </w:r>
    </w:p>
    <w:p>
      <w:pPr>
        <w:spacing w:after="0" w:before="80"/>
      </w:pPr>
      <w:r>
        <w:t xml:space="preserve"/>
      </w:r>
    </w:p>
    <w:p>
      <w:pPr>
        <w:spacing w:after="120" w:before="80" w:line="276"/>
        <w:jc w:val="both"/>
      </w:pPr>
      <w:r>
        <w:rPr>
          <w:rFonts w:ascii="Arial" w:cs="Arial" w:eastAsia="Arial" w:hAnsi="Arial"/>
          <w:color w:val="000000"/>
          <w:sz w:val="22"/>
          <w:szCs w:val="22"/>
        </w:rPr>
        <w:t xml:space="preserve">Workers compensation schemes in Australia — iCare in NSW, WorkSafe in Victoria, ReturnToWorkSA — operate on exactly this principle. They are not perfect, but their cost discipline and provider accountability mechanisms are structurally superior to the NDIS because the entity managing claims has a financial stake in the outcome. When WorkSafe approves a rehabilitation plan, it is because that plan is likely to work — not merely because the participant requested it.</w:t>
      </w:r>
    </w:p>
    <w:p>
      <w:pPr>
        <w:spacing w:after="0" w:before="80"/>
      </w:pPr>
      <w:r>
        <w:t xml:space="preserve"/>
      </w:r>
    </w:p>
    <w:p>
      <w:pPr>
        <w:spacing w:after="120" w:before="80" w:line="276"/>
        <w:jc w:val="both"/>
      </w:pPr>
      <w:r>
        <w:rPr>
          <w:rFonts w:ascii="Arial" w:cs="Arial" w:eastAsia="Arial" w:hAnsi="Arial"/>
          <w:color w:val="000000"/>
          <w:sz w:val="22"/>
          <w:szCs w:val="22"/>
        </w:rPr>
        <w:t xml:space="preserve">The German and Dutch models extend this logic to disability and aged care. Both operate through mandatory social insurance funds — competing managed care organisations within a government-set framework. Both have better long-term cost sustainability than Australia's NDIS. Both maintain universal access. Neither has abandoned its most vulnerable participants to the market.</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4.2 Why Full Privatisation Does Not Work</w:t>
      </w:r>
    </w:p>
    <w:p>
      <w:pPr>
        <w:spacing w:after="120" w:before="80" w:line="276"/>
        <w:jc w:val="both"/>
      </w:pPr>
      <w:r>
        <w:rPr>
          <w:rFonts w:ascii="Arial" w:cs="Arial" w:eastAsia="Arial" w:hAnsi="Arial"/>
          <w:color w:val="000000"/>
          <w:sz w:val="22"/>
          <w:szCs w:val="22"/>
        </w:rPr>
        <w:t xml:space="preserve">Full privatisation of disability insurance fails for one inescapable actuarial reason: the risk pool for severe, permanent, high-cost disability is too concentrated and too expensive for commercial insurers to cover profitably without excluding the highest-need participants or charging premiums that make the product inaccessible. No private insurance market anywhere in the world has voluntarily covered profound intellectual disability or complex physical needs at scale. The market fails here not because of ideology but because the mathematics do not support it.</w:t>
      </w:r>
    </w:p>
    <w:p>
      <w:pPr>
        <w:spacing w:after="0" w:before="80"/>
      </w:pPr>
      <w:r>
        <w:t xml:space="preserve"/>
      </w:r>
    </w:p>
    <w:p>
      <w:pPr>
        <w:spacing w:after="120" w:before="80" w:line="276"/>
        <w:jc w:val="both"/>
      </w:pPr>
      <w:r>
        <w:rPr>
          <w:rFonts w:ascii="Arial" w:cs="Arial" w:eastAsia="Arial" w:hAnsi="Arial"/>
          <w:color w:val="000000"/>
          <w:sz w:val="22"/>
          <w:szCs w:val="22"/>
        </w:rPr>
        <w:t xml:space="preserve">Any model that hands the NDIS to private insurers without a government reinsurance backstop would result in the most vulnerable participants becoming either uninsurable or prohibitively expensive. That outcome is not acceptable and this paper does not propose it.</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4.3 The Managed Competition Model</w:t>
      </w:r>
    </w:p>
    <w:p>
      <w:pPr>
        <w:spacing w:after="120" w:before="80" w:line="276"/>
        <w:jc w:val="both"/>
      </w:pPr>
      <w:r>
        <w:rPr>
          <w:rFonts w:ascii="Arial" w:cs="Arial" w:eastAsia="Arial" w:hAnsi="Arial"/>
          <w:color w:val="000000"/>
          <w:sz w:val="22"/>
          <w:szCs w:val="22"/>
        </w:rPr>
        <w:t xml:space="preserve">What is proposed is a hybrid structure that captures the efficiency incentives of private insurance while preserving universal access through government reinsurance of catastrophic risk:</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6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Design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Government sets the liability envelope</w:t>
            </w:r>
          </w:p>
        </w:tc>
        <w:tc>
          <w:tcPr>
            <w:tcW w:type="dxa" w:w="66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Independent actuarial assessment determines what each participant's support package is worth. This is non-negotiable and not set by the insurer.</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Competing insurers manage delivery</w:t>
            </w:r>
          </w:p>
        </w:tc>
        <w:tc>
          <w:tcPr>
            <w:tcW w:type="dxa" w:w="66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Licensed insurers — including not-for-profits and community organisations — compete to manage plans within the government-set envelope. Participants choose their insurer. Insurers profit from delivering outcomes efficiently; they absorb losses from poor management.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Government reinsures catastrophic risk</w:t>
            </w:r>
          </w:p>
        </w:tc>
        <w:tc>
          <w:tcPr>
            <w:tcW w:type="dxa" w:w="66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For the highest-cost participants, government reinsurance preserves universal access for the most vulnerable while allowing the insurer market to function for the broader cohort.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0"/>
                <w:szCs w:val="20"/>
              </w:rPr>
              <w:t xml:space="preserve">Outcomes determine insurer renewal</w:t>
            </w:r>
          </w:p>
        </w:tc>
        <w:tc>
          <w:tcPr>
            <w:tcW w:type="dxa" w:w="66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F3864"/>
                <w:sz w:val="20"/>
                <w:szCs w:val="20"/>
              </w:rPr>
              <w:t xml:space="preserve">Insurer licences are renewed based on participant outcome scores, complaint rates, and provider audit compliance — not just cost management. This prevents the model becoming an exercise in claim denial rather than genuine support delivery.</w:t>
            </w:r>
          </w:p>
        </w:tc>
      </w:tr>
    </w:tbl>
    <w:p>
      <w:pPr>
        <w:spacing w:after="0" w:before="200"/>
      </w:pPr>
      <w:r>
        <w:t xml:space="preserve"/>
      </w:r>
    </w:p>
    <w:p>
      <w:pPr>
        <w:pStyle w:val="Heading2"/>
        <w:spacing w:after="80" w:before="240"/>
      </w:pPr>
      <w:r>
        <w:rPr>
          <w:rFonts w:ascii="Arial" w:cs="Arial" w:eastAsia="Arial" w:hAnsi="Arial"/>
          <w:b/>
          <w:bCs/>
          <w:color w:val="2E75B6"/>
          <w:sz w:val="24"/>
          <w:szCs w:val="24"/>
        </w:rPr>
        <w:t xml:space="preserve">4.4 Why This Has Not Been Proposed</w:t>
      </w:r>
    </w:p>
    <w:p>
      <w:pPr>
        <w:spacing w:after="120" w:before="80" w:line="276"/>
        <w:jc w:val="both"/>
      </w:pPr>
      <w:r>
        <w:rPr>
          <w:rFonts w:ascii="Arial" w:cs="Arial" w:eastAsia="Arial" w:hAnsi="Arial"/>
          <w:color w:val="000000"/>
          <w:sz w:val="22"/>
          <w:szCs w:val="22"/>
        </w:rPr>
        <w:t xml:space="preserve">The managed competition model has not entered serious Australian policy debate for reasons that are political rather than analytical. Disability advocacy groups have deep and legitimate mistrust of private insurers — rooted in decades of experience with private health insurance claim denials and coverage exclusions. That mistrust is not irrational.</w:t>
      </w:r>
    </w:p>
    <w:p>
      <w:pPr>
        <w:spacing w:after="0" w:before="80"/>
      </w:pPr>
      <w:r>
        <w:t xml:space="preserve"/>
      </w:r>
    </w:p>
    <w:p>
      <w:pPr>
        <w:spacing w:after="120" w:before="80" w:line="276"/>
        <w:jc w:val="both"/>
      </w:pPr>
      <w:r>
        <w:rPr>
          <w:rFonts w:ascii="Arial" w:cs="Arial" w:eastAsia="Arial" w:hAnsi="Arial"/>
          <w:color w:val="000000"/>
          <w:sz w:val="22"/>
          <w:szCs w:val="22"/>
        </w:rPr>
        <w:t xml:space="preserve">However, the design features of the managed competition model specifically address those concerns. The insurer cannot deny a claim that the government actuary has already assessed and funded. The insurer can only compete on how well it delivers the support, not on whether it delivers it at all.</w:t>
      </w:r>
    </w:p>
    <w:p>
      <w:pPr>
        <w:spacing w:after="0" w:before="80"/>
      </w:pPr>
      <w:r>
        <w:t xml:space="preserve"/>
      </w:r>
    </w:p>
    <w:p>
      <w:pPr>
        <w:spacing w:after="120" w:before="80" w:line="276"/>
        <w:jc w:val="both"/>
      </w:pPr>
      <w:r>
        <w:rPr>
          <w:rFonts w:ascii="Arial" w:cs="Arial" w:eastAsia="Arial" w:hAnsi="Arial"/>
          <w:color w:val="000000"/>
          <w:sz w:val="22"/>
          <w:szCs w:val="22"/>
        </w:rPr>
        <w:t xml:space="preserve">The conversation has not happened because no political party has been willing to initiate it. That is a failure of political courage, not of policy logic.</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5. Addressing the Counterarguments</w:t>
      </w:r>
    </w:p>
    <w:p>
      <w:pPr>
        <w:pStyle w:val="Heading2"/>
        <w:spacing w:after="80" w:before="240"/>
      </w:pPr>
      <w:r>
        <w:rPr>
          <w:rFonts w:ascii="Arial" w:cs="Arial" w:eastAsia="Arial" w:hAnsi="Arial"/>
          <w:b/>
          <w:bCs/>
          <w:color w:val="2E75B6"/>
          <w:sz w:val="24"/>
          <w:szCs w:val="24"/>
        </w:rPr>
        <w:t xml:space="preserve">5.1 "This Will Hurt Vulnerable Participants"</w:t>
      </w:r>
    </w:p>
    <w:p>
      <w:pPr>
        <w:spacing w:after="120" w:before="80" w:line="276"/>
        <w:jc w:val="both"/>
      </w:pPr>
      <w:r>
        <w:rPr>
          <w:rFonts w:ascii="Arial" w:cs="Arial" w:eastAsia="Arial" w:hAnsi="Arial"/>
          <w:color w:val="000000"/>
          <w:sz w:val="22"/>
          <w:szCs w:val="22"/>
        </w:rPr>
        <w:t xml:space="preserve">The three-tier model explicitly protects the cohort the NDIS was designed for — those with severe and permanent disability. Tier 1 is preserved and strengthened. The concern about harm applies more accurately to the current system, where genuine participants with high needs regularly report inadequate plans, poor provider quality, and bureaucratic dysfunction. A better-governed, financially sustainable Tier 1 serves those participants better than the current undifferentiated market.</w:t>
      </w:r>
    </w:p>
    <w:p>
      <w:pPr>
        <w:spacing w:after="0" w:before="80"/>
      </w:pPr>
      <w:r>
        <w:t xml:space="preserve"/>
      </w:r>
    </w:p>
    <w:p>
      <w:pPr>
        <w:pStyle w:val="Heading2"/>
        <w:spacing w:after="80" w:before="240"/>
      </w:pPr>
      <w:r>
        <w:rPr>
          <w:rFonts w:ascii="Arial" w:cs="Arial" w:eastAsia="Arial" w:hAnsi="Arial"/>
          <w:b/>
          <w:bCs/>
          <w:color w:val="2E75B6"/>
          <w:sz w:val="24"/>
          <w:szCs w:val="24"/>
        </w:rPr>
        <w:t xml:space="preserve">5.2 "Foundational Supports Don't Exist Yet"</w:t>
      </w:r>
    </w:p>
    <w:p>
      <w:pPr>
        <w:spacing w:after="120" w:before="80" w:line="276"/>
        <w:jc w:val="both"/>
      </w:pPr>
      <w:r>
        <w:rPr>
          <w:rFonts w:ascii="Arial" w:cs="Arial" w:eastAsia="Arial" w:hAnsi="Arial"/>
          <w:color w:val="000000"/>
          <w:sz w:val="22"/>
          <w:szCs w:val="22"/>
        </w:rPr>
        <w:t xml:space="preserve">This is true — and it is a sequencing problem, not a reason to abandon the reform. The government's own foundational supports framework is due for rollout from mid-2025. The reform proposed here should be staged: Tier 2 and Tier 3 transitions should not occur until foundational supports infrastructure is in place and operational. The paper proposes a transition period of no less than two years from the establishment of foundational supports before any participant migration.</w:t>
      </w:r>
    </w:p>
    <w:p>
      <w:pPr>
        <w:spacing w:after="0" w:before="80"/>
      </w:pPr>
      <w:r>
        <w:t xml:space="preserve"/>
      </w:r>
    </w:p>
    <w:p>
      <w:pPr>
        <w:pStyle w:val="Heading2"/>
        <w:spacing w:after="80" w:before="240"/>
      </w:pPr>
      <w:r>
        <w:rPr>
          <w:rFonts w:ascii="Arial" w:cs="Arial" w:eastAsia="Arial" w:hAnsi="Arial"/>
          <w:b/>
          <w:bCs/>
          <w:color w:val="2E75B6"/>
          <w:sz w:val="24"/>
          <w:szCs w:val="24"/>
        </w:rPr>
        <w:t xml:space="preserve">5.3 "8% Growth Is Already Progress"</w:t>
      </w:r>
    </w:p>
    <w:p>
      <w:pPr>
        <w:spacing w:after="120" w:before="80" w:line="276"/>
        <w:jc w:val="both"/>
      </w:pPr>
      <w:r>
        <w:rPr>
          <w:rFonts w:ascii="Arial" w:cs="Arial" w:eastAsia="Arial" w:hAnsi="Arial"/>
          <w:color w:val="000000"/>
          <w:sz w:val="22"/>
          <w:szCs w:val="22"/>
        </w:rPr>
        <w:t xml:space="preserve">It is. But as the Department of Finance's own brief acknowledges, 8% growth is still unsustainable in the medium to long term. The Productivity Commission's 2017 report suggested that a growth rate of approximately 4% would be appropriate after full scheme rollout. We are still more than double that target under the government's most optimistic scenario. Progress toward an unsustainable trajectory is not a solution.</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6. Recommendations</w:t>
      </w:r>
    </w:p>
    <w:p>
      <w:pPr>
        <w:spacing w:after="120" w:before="80" w:line="276"/>
        <w:jc w:val="left"/>
      </w:pPr>
      <w:r>
        <w:rPr>
          <w:rFonts w:ascii="Arial" w:cs="Arial" w:eastAsia="Arial" w:hAnsi="Arial"/>
          <w:b/>
          <w:bCs/>
          <w:color w:val="000000"/>
          <w:sz w:val="22"/>
          <w:szCs w:val="22"/>
        </w:rPr>
        <w:t xml:space="preserve">This paper makes the following recommendations: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Establish an independent NDIS Actuary with statutory authority to publish binding annual liability assessments, replacing the current internal sustainability reporting function.</w:t>
      </w:r>
    </w:p>
    <w:p>
      <w:pPr>
        <w:pStyle w:val="ListParagraph"/>
        <w:numPr>
          <w:ilvl w:val="0"/>
          <w:numId w:val="2"/>
        </w:numPr>
        <w:spacing w:after="60" w:before="60"/>
      </w:pPr>
      <w:r>
        <w:rPr>
          <w:rFonts w:ascii="Arial" w:cs="Arial" w:eastAsia="Arial" w:hAnsi="Arial"/>
          <w:sz w:val="22"/>
          <w:szCs w:val="22"/>
        </w:rPr>
        <w:t xml:space="preserve">Legislate a three-tier structural framework separating Core NDIS (severe and permanent disability), Foundational Supports (mild-moderate and psychosocial), and Early Intervention (time-limited, outcome-measured children's supports).</w:t>
      </w:r>
    </w:p>
    <w:p>
      <w:pPr>
        <w:pStyle w:val="ListParagraph"/>
        <w:numPr>
          <w:ilvl w:val="0"/>
          <w:numId w:val="2"/>
        </w:numPr>
        <w:spacing w:after="60" w:before="60"/>
      </w:pPr>
      <w:r>
        <w:rPr>
          <w:rFonts w:ascii="Arial" w:cs="Arial" w:eastAsia="Arial" w:hAnsi="Arial"/>
          <w:sz w:val="22"/>
          <w:szCs w:val="22"/>
        </w:rPr>
        <w:t xml:space="preserve">Replace the provider notification model with a genuine licensing regime, including mandatory financial audits, outcome reporting, real-time billing monitoring, and a public performance register.</w:t>
      </w:r>
    </w:p>
    <w:p>
      <w:pPr>
        <w:pStyle w:val="ListParagraph"/>
        <w:numPr>
          <w:ilvl w:val="0"/>
          <w:numId w:val="2"/>
        </w:numPr>
        <w:spacing w:after="60" w:before="60"/>
      </w:pPr>
      <w:r>
        <w:rPr>
          <w:rFonts w:ascii="Arial" w:cs="Arial" w:eastAsia="Arial" w:hAnsi="Arial"/>
          <w:sz w:val="22"/>
          <w:szCs w:val="22"/>
        </w:rPr>
        <w:t xml:space="preserve">Introduce standardised clinical planning, replacing NDIA planner discretion with independent clinical assessment protocols that include review triggers when plan costs exceed benchmark growth rates.</w:t>
      </w:r>
    </w:p>
    <w:p>
      <w:pPr>
        <w:pStyle w:val="ListParagraph"/>
        <w:numPr>
          <w:ilvl w:val="0"/>
          <w:numId w:val="2"/>
        </w:numPr>
        <w:spacing w:after="60" w:before="60"/>
      </w:pPr>
      <w:r>
        <w:rPr>
          <w:rFonts w:ascii="Arial" w:cs="Arial" w:eastAsia="Arial" w:hAnsi="Arial"/>
          <w:sz w:val="22"/>
          <w:szCs w:val="22"/>
        </w:rPr>
        <w:t xml:space="preserve">Commit to a Foundational Supports establishment timeline of no more than two years, with federal co-funding to states and territories that is conditional on measurable service delivery targets — not consultation processes.</w:t>
      </w:r>
    </w:p>
    <w:p>
      <w:pPr>
        <w:pStyle w:val="ListParagraph"/>
        <w:numPr>
          <w:ilvl w:val="0"/>
          <w:numId w:val="2"/>
        </w:numPr>
        <w:spacing w:after="60" w:before="60"/>
      </w:pPr>
      <w:r>
        <w:rPr>
          <w:rFonts w:ascii="Arial" w:cs="Arial" w:eastAsia="Arial" w:hAnsi="Arial"/>
          <w:sz w:val="22"/>
          <w:szCs w:val="22"/>
        </w:rPr>
        <w:t xml:space="preserve">Set a long-term growth sustainability target of 4-5% annually — consistent with the Productivity Commission's 2017 recommendation — and embed this as a statutory objective of the NDIA rather than a ministerial aspiration.</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7. Conclusion</w:t>
      </w:r>
    </w:p>
    <w:p>
      <w:pPr>
        <w:spacing w:after="120" w:before="80" w:line="276"/>
        <w:jc w:val="both"/>
      </w:pPr>
      <w:r>
        <w:rPr>
          <w:rFonts w:ascii="Arial" w:cs="Arial" w:eastAsia="Arial" w:hAnsi="Arial"/>
          <w:color w:val="000000"/>
          <w:sz w:val="22"/>
          <w:szCs w:val="22"/>
        </w:rPr>
        <w:t xml:space="preserve">The NDIS is not broken because Australians with disability need too much support. It is broken because a scheme designed for a specific cohort was allowed to become the default support system for an entire tier of unmet need — while simultaneously operating without the actuarial discipline, market governance, or outcome accountability that the word 'insurance' demands.</w:t>
      </w:r>
    </w:p>
    <w:p>
      <w:pPr>
        <w:spacing w:after="0" w:before="80"/>
      </w:pPr>
      <w:r>
        <w:t xml:space="preserve"/>
      </w:r>
    </w:p>
    <w:p>
      <w:pPr>
        <w:spacing w:after="120" w:before="80" w:line="276"/>
        <w:jc w:val="both"/>
      </w:pPr>
      <w:r>
        <w:rPr>
          <w:rFonts w:ascii="Arial" w:cs="Arial" w:eastAsia="Arial" w:hAnsi="Arial"/>
          <w:color w:val="000000"/>
          <w:sz w:val="22"/>
          <w:szCs w:val="22"/>
        </w:rPr>
        <w:t xml:space="preserve">The result is a scheme that costs three times its original forecast, serves nearly double its intended number of participants, and is on track to consume a greater share of GDP than Medicare and defence combined — while still regularly failing the people it was built to serve.</w:t>
      </w:r>
    </w:p>
    <w:p>
      <w:pPr>
        <w:spacing w:after="0" w:before="80"/>
      </w:pPr>
      <w:r>
        <w:t xml:space="preserve"/>
      </w:r>
    </w:p>
    <w:p>
      <w:pPr>
        <w:spacing w:after="120" w:before="80" w:line="276"/>
        <w:jc w:val="both"/>
      </w:pPr>
      <w:r>
        <w:rPr>
          <w:rFonts w:ascii="Arial" w:cs="Arial" w:eastAsia="Arial" w:hAnsi="Arial"/>
          <w:color w:val="000000"/>
          <w:sz w:val="22"/>
          <w:szCs w:val="22"/>
        </w:rPr>
        <w:t xml:space="preserve">The reforms proposed in this paper are not about spending less on disability. They are about spending honestly — with a system that knows what it is, governs what it funds, and measures whether it works.</w:t>
      </w:r>
    </w:p>
    <w:p>
      <w:pPr>
        <w:spacing w:after="0" w:before="300"/>
      </w:pPr>
      <w:r>
        <w:t xml:space="preserve"/>
      </w:r>
    </w:p>
    <w:p>
      <w:pPr>
        <w:pStyle w:val="Heading1"/>
        <w:pBdr>
          <w:bottom w:val="single" w:color="2E75B6" w:sz="6" w:space="6"/>
        </w:pBdr>
        <w:spacing w:after="120" w:before="360"/>
      </w:pPr>
      <w:r>
        <w:rPr>
          <w:rFonts w:ascii="Arial" w:cs="Arial" w:eastAsia="Arial" w:hAnsi="Arial"/>
          <w:b/>
          <w:bCs/>
          <w:color w:val="1F3864"/>
          <w:sz w:val="28"/>
          <w:szCs w:val="28"/>
        </w:rPr>
        <w:t xml:space="preserve">8. Sources and References</w:t>
      </w:r>
    </w:p>
    <w:p>
      <w:pPr>
        <w:spacing w:after="120" w:before="80" w:line="276"/>
        <w:jc w:val="left"/>
      </w:pPr>
      <w:r>
        <w:rPr>
          <w:rFonts w:ascii="Arial" w:cs="Arial" w:eastAsia="Arial" w:hAnsi="Arial"/>
          <w:color w:val="595959"/>
          <w:sz w:val="18"/>
          <w:szCs w:val="18"/>
        </w:rPr>
        <w:t xml:space="preserve">NDIS Quarterly Report, March 2025. National Disability Insurance Agency.</w:t>
      </w:r>
    </w:p>
    <w:p>
      <w:pPr>
        <w:spacing w:after="120" w:before="80" w:line="276"/>
        <w:jc w:val="left"/>
      </w:pPr>
      <w:r>
        <w:rPr>
          <w:rFonts w:ascii="Arial" w:cs="Arial" w:eastAsia="Arial" w:hAnsi="Arial"/>
          <w:color w:val="595959"/>
          <w:sz w:val="18"/>
          <w:szCs w:val="18"/>
        </w:rPr>
        <w:t xml:space="preserve">NDIS Annual Financial Sustainability Report Summary. NDIA, 2024.</w:t>
      </w:r>
    </w:p>
    <w:p>
      <w:pPr>
        <w:spacing w:after="120" w:before="80" w:line="276"/>
        <w:jc w:val="left"/>
      </w:pPr>
      <w:r>
        <w:rPr>
          <w:rFonts w:ascii="Arial" w:cs="Arial" w:eastAsia="Arial" w:hAnsi="Arial"/>
          <w:color w:val="595959"/>
          <w:sz w:val="18"/>
          <w:szCs w:val="18"/>
        </w:rPr>
        <w:t xml:space="preserve">Department of Finance. NDIS Estimates Brief — Hot Issue, October 2025. Released under Freedom of Information Act 1982.</w:t>
      </w:r>
    </w:p>
    <w:p>
      <w:pPr>
        <w:spacing w:after="120" w:before="80" w:line="276"/>
        <w:jc w:val="left"/>
      </w:pPr>
      <w:r>
        <w:rPr>
          <w:rFonts w:ascii="Arial" w:cs="Arial" w:eastAsia="Arial" w:hAnsi="Arial"/>
          <w:color w:val="595959"/>
          <w:sz w:val="18"/>
          <w:szCs w:val="18"/>
        </w:rPr>
        <w:t xml:space="preserve">Budget 2025-26: Strengthening the National Disability Insurance Scheme. Australian Government Department of Health, Disability and Ageing.</w:t>
      </w:r>
    </w:p>
    <w:p>
      <w:pPr>
        <w:spacing w:after="120" w:before="80" w:line="276"/>
        <w:jc w:val="left"/>
      </w:pPr>
      <w:r>
        <w:rPr>
          <w:rFonts w:ascii="Arial" w:cs="Arial" w:eastAsia="Arial" w:hAnsi="Arial"/>
          <w:color w:val="595959"/>
          <w:sz w:val="18"/>
          <w:szCs w:val="18"/>
        </w:rPr>
        <w:t xml:space="preserve">Productivity Commission. NDIS Costs Study Report, 2017.</w:t>
      </w:r>
    </w:p>
    <w:p>
      <w:pPr>
        <w:spacing w:after="120" w:before="80" w:line="276"/>
        <w:jc w:val="left"/>
      </w:pPr>
      <w:r>
        <w:rPr>
          <w:rFonts w:ascii="Arial" w:cs="Arial" w:eastAsia="Arial" w:hAnsi="Arial"/>
          <w:color w:val="595959"/>
          <w:sz w:val="18"/>
          <w:szCs w:val="18"/>
        </w:rPr>
        <w:t xml:space="preserve">National Audit Office. NDIS Fraud and Non-Compliance Report, 2024.</w:t>
      </w:r>
    </w:p>
    <w:p>
      <w:pPr>
        <w:spacing w:after="120" w:before="80" w:line="276"/>
        <w:jc w:val="left"/>
      </w:pPr>
      <w:r>
        <w:rPr>
          <w:rFonts w:ascii="Arial" w:cs="Arial" w:eastAsia="Arial" w:hAnsi="Arial"/>
          <w:color w:val="595959"/>
          <w:sz w:val="18"/>
          <w:szCs w:val="18"/>
        </w:rPr>
        <w:t xml:space="preserve">UNSW Newsroom. 'The government wants to contain NDIS growth. But ineligible people with disability also need support.' May 2025.</w:t>
      </w:r>
    </w:p>
    <w:p>
      <w:pPr>
        <w:spacing w:after="120" w:before="80" w:line="276"/>
        <w:jc w:val="left"/>
      </w:pPr>
      <w:r>
        <w:rPr>
          <w:rFonts w:ascii="Arial" w:cs="Arial" w:eastAsia="Arial" w:hAnsi="Arial"/>
          <w:color w:val="595959"/>
          <w:sz w:val="18"/>
          <w:szCs w:val="18"/>
        </w:rPr>
        <w:t xml:space="preserve">The Conversation. 'The budget sounded warnings of an NDIS blowout.' 2024.</w:t>
      </w:r>
    </w:p>
    <w:p>
      <w:pPr>
        <w:spacing w:after="120" w:before="80" w:line="276"/>
        <w:jc w:val="left"/>
      </w:pPr>
      <w:r>
        <w:rPr>
          <w:rFonts w:ascii="Arial" w:cs="Arial" w:eastAsia="Arial" w:hAnsi="Arial"/>
          <w:color w:val="595959"/>
          <w:sz w:val="18"/>
          <w:szCs w:val="18"/>
        </w:rPr>
        <w:t xml:space="preserve">NDIS Scheme Actuary Presentation Q1 2024-25. National Disability Insurance Agency.</w:t>
      </w:r>
    </w:p>
    <w:p>
      <w:r>
        <w:br w:type="page"/>
      </w:r>
    </w:p>
    <w:p>
      <w:pPr>
        <w:spacing w:after="60" w:before="240"/>
      </w:pPr>
      <w:r>
        <w:rPr>
          <w:rFonts w:ascii="Arial" w:cs="Arial" w:eastAsia="Arial" w:hAnsi="Arial"/>
          <w:b/>
          <w:bCs/>
          <w:caps/>
          <w:color w:val="2E75B6"/>
          <w:sz w:val="20"/>
          <w:szCs w:val="20"/>
        </w:rPr>
        <w:t xml:space="preserve">OP-ED</w:t>
      </w:r>
    </w:p>
    <w:p>
      <w:pPr>
        <w:spacing w:after="120" w:before="0"/>
      </w:pPr>
      <w:r>
        <w:rPr>
          <w:rFonts w:ascii="Arial" w:cs="Arial" w:eastAsia="Arial" w:hAnsi="Arial"/>
          <w:b/>
          <w:bCs/>
          <w:color w:val="1F3864"/>
          <w:sz w:val="44"/>
          <w:szCs w:val="44"/>
        </w:rPr>
        <w:t xml:space="preserve">We Called It Insurance. We Never Meant It.</w:t>
      </w:r>
    </w:p>
    <w:p>
      <w:pPr>
        <w:pBdr>
          <w:bottom w:val="single" w:color="2E75B6" w:sz="6" w:space="6"/>
        </w:pBdr>
        <w:spacing w:after="360" w:before="0"/>
      </w:pPr>
      <w:r>
        <w:rPr>
          <w:rFonts w:ascii="Arial" w:cs="Arial" w:eastAsia="Arial" w:hAnsi="Arial"/>
          <w:i/>
          <w:iCs/>
          <w:color w:val="595959"/>
          <w:sz w:val="24"/>
          <w:szCs w:val="24"/>
        </w:rPr>
        <w:t xml:space="preserve">The NDIS was sold as an insurance scheme. Twelve years later, it behaves like nothing of the sort — and that gap between the name and the reality is costing us everything.</w:t>
      </w:r>
    </w:p>
    <w:p>
      <w:pPr>
        <w:spacing w:after="120" w:before="80" w:line="276"/>
        <w:jc w:val="both"/>
      </w:pPr>
      <w:r>
        <w:rPr>
          <w:rFonts w:ascii="Arial" w:cs="Arial" w:eastAsia="Arial" w:hAnsi="Arial"/>
          <w:color w:val="000000"/>
          <w:sz w:val="22"/>
          <w:szCs w:val="22"/>
        </w:rPr>
        <w:t xml:space="preserve">When you take out insurance, a few things are true. Someone has calculated what your claim might cost. There are rules about who qualifies. If your circumstances improve, your claim adjusts. The people providing the service are vetted, audited, and accountable.</w:t>
      </w:r>
    </w:p>
    <w:p>
      <w:pPr>
        <w:spacing w:after="0" w:before="80"/>
      </w:pPr>
      <w:r>
        <w:t xml:space="preserve"/>
      </w:r>
    </w:p>
    <w:p>
      <w:pPr>
        <w:spacing w:after="120" w:before="80" w:line="276"/>
        <w:jc w:val="both"/>
      </w:pPr>
      <w:r>
        <w:rPr>
          <w:rFonts w:ascii="Arial" w:cs="Arial" w:eastAsia="Arial" w:hAnsi="Arial"/>
          <w:color w:val="000000"/>
          <w:sz w:val="22"/>
          <w:szCs w:val="22"/>
        </w:rPr>
        <w:t xml:space="preserve">None of that is reliably true of the NDIS.</w:t>
      </w:r>
    </w:p>
    <w:p>
      <w:pPr>
        <w:spacing w:after="0" w:before="80"/>
      </w:pPr>
      <w:r>
        <w:t xml:space="preserve"/>
      </w:r>
    </w:p>
    <w:p>
      <w:pPr>
        <w:spacing w:after="120" w:before="80" w:line="276"/>
        <w:jc w:val="both"/>
      </w:pPr>
      <w:r>
        <w:rPr>
          <w:rFonts w:ascii="Arial" w:cs="Arial" w:eastAsia="Arial" w:hAnsi="Arial"/>
          <w:color w:val="000000"/>
          <w:sz w:val="22"/>
          <w:szCs w:val="22"/>
        </w:rPr>
        <w:t xml:space="preserve">The scheme launched in 2013 with a forecast cost of $13.6 billion a year by now, covering 411,000 Australians. This year it will cost $46.2 billion and cover 739,000 people. By 2030, even under the government's current reform agenda, it is projected to hit $105 billion annually — larger than Medicare and defence spending combined.</w:t>
      </w:r>
    </w:p>
    <w:p>
      <w:pPr>
        <w:spacing w:after="0" w:before="80"/>
      </w:pPr>
      <w:r>
        <w:t xml:space="preserve"/>
      </w:r>
    </w:p>
    <w:p>
      <w:pPr>
        <w:spacing w:after="120" w:before="80" w:line="276"/>
        <w:jc w:val="both"/>
      </w:pPr>
      <w:r>
        <w:rPr>
          <w:rFonts w:ascii="Arial" w:cs="Arial" w:eastAsia="Arial" w:hAnsi="Arial"/>
          <w:color w:val="000000"/>
          <w:sz w:val="22"/>
          <w:szCs w:val="22"/>
        </w:rPr>
        <w:t xml:space="preserve">The usual response to these numbers is a political one. Critics say it's blowing out. Defenders say vulnerable people are being attacked. Both sides have been having this argument for years and neither has said the thing that actually explains what went wrong.</w:t>
      </w:r>
    </w:p>
    <w:p>
      <w:pPr>
        <w:spacing w:after="0" w:before="80"/>
      </w:pPr>
      <w:r>
        <w:t xml:space="preserve"/>
      </w:r>
    </w:p>
    <w:p>
      <w:pPr>
        <w:spacing w:after="120" w:before="80" w:line="276"/>
        <w:jc w:val="both"/>
      </w:pPr>
      <w:r>
        <w:rPr>
          <w:rFonts w:ascii="Arial" w:cs="Arial" w:eastAsia="Arial" w:hAnsi="Arial"/>
          <w:color w:val="000000"/>
          <w:sz w:val="22"/>
          <w:szCs w:val="22"/>
        </w:rPr>
        <w:t xml:space="preserve">The NDIS borrowed the language of insurance and then quietly discarded everything that makes insurance work.</w:t>
      </w:r>
    </w:p>
    <w:p>
      <w:pPr>
        <w:spacing w:after="0" w:before="80"/>
      </w:pPr>
      <w:r>
        <w:t xml:space="preserve"/>
      </w:r>
    </w:p>
    <w:p>
      <w:pPr>
        <w:spacing w:after="120" w:before="80" w:line="276"/>
        <w:jc w:val="both"/>
      </w:pPr>
      <w:r>
        <w:rPr>
          <w:rFonts w:ascii="Arial" w:cs="Arial" w:eastAsia="Arial" w:hAnsi="Arial"/>
          <w:color w:val="000000"/>
          <w:sz w:val="22"/>
          <w:szCs w:val="22"/>
        </w:rPr>
        <w:t xml:space="preserve">A real insurance scheme has actuarial discipline — someone independent calculates what the liability actually is and that number drives the budget. The NDIS has no such mechanism. Its original liability estimate was wrong by 300% and there is no structural correction process. The government just adjusts the forward estimates and hopes the growth rate moderates.</w:t>
      </w:r>
    </w:p>
    <w:p>
      <w:pPr>
        <w:spacing w:after="0" w:before="80"/>
      </w:pPr>
      <w:r>
        <w:t xml:space="preserve"/>
      </w:r>
    </w:p>
    <w:p>
      <w:pPr>
        <w:spacing w:after="120" w:before="80" w:line="276"/>
        <w:jc w:val="both"/>
      </w:pPr>
      <w:r>
        <w:rPr>
          <w:rFonts w:ascii="Arial" w:cs="Arial" w:eastAsia="Arial" w:hAnsi="Arial"/>
          <w:color w:val="000000"/>
          <w:sz w:val="22"/>
          <w:szCs w:val="22"/>
        </w:rPr>
        <w:t xml:space="preserve">A real insurance scheme has defined eligibility. The NDIS was built for Australians with severe and permanent disability. It has gradually expanded to cover mild autism, psychosocial conditions, and developmental delays in children — not because those people don't need support, but because every other support system that used to serve them was quietly defunded. The NDIS became the last resort for an enormous population it was never designed to serve.</w:t>
      </w:r>
    </w:p>
    <w:p>
      <w:pPr>
        <w:spacing w:after="0" w:before="80"/>
      </w:pPr>
      <w:r>
        <w:t xml:space="preserve"/>
      </w:r>
    </w:p>
    <w:p>
      <w:pPr>
        <w:spacing w:after="120" w:before="80" w:line="276"/>
        <w:jc w:val="both"/>
      </w:pPr>
      <w:r>
        <w:rPr>
          <w:rFonts w:ascii="Arial" w:cs="Arial" w:eastAsia="Arial" w:hAnsi="Arial"/>
          <w:color w:val="000000"/>
          <w:sz w:val="22"/>
          <w:szCs w:val="22"/>
        </w:rPr>
        <w:t xml:space="preserve">A real insurance scheme has outcome measures. Plans should reflect need — and adjust when circumstances change. NDIS plan budgets for participants who have been in the scheme for eight years have doubled on average. Not because their conditions necessarily worsened. Because that's what plans do. They grow.</w:t>
      </w:r>
    </w:p>
    <w:p>
      <w:pPr>
        <w:spacing w:after="0" w:before="80"/>
      </w:pPr>
      <w:r>
        <w:t xml:space="preserve"/>
      </w:r>
    </w:p>
    <w:p>
      <w:pPr>
        <w:spacing w:after="120" w:before="80" w:line="276"/>
        <w:jc w:val="both"/>
      </w:pPr>
      <w:r>
        <w:rPr>
          <w:rFonts w:ascii="Arial" w:cs="Arial" w:eastAsia="Arial" w:hAnsi="Arial"/>
          <w:color w:val="000000"/>
          <w:sz w:val="22"/>
          <w:szCs w:val="22"/>
        </w:rPr>
        <w:t xml:space="preserve">And a real insurance scheme has a regulated supply side. There are over 18,000 registered NDIS providers. Before 2024, the scheme's own auditors concluded it lacked basic fraud prevention controls. Hundreds of millions of dollars were extracted by providers who exist primarily to bill the scheme — not to support participants.</w:t>
      </w:r>
    </w:p>
    <w:p>
      <w:pPr>
        <w:spacing w:after="0" w:before="80"/>
      </w:pPr>
      <w:r>
        <w:t xml:space="preserve"/>
      </w:r>
    </w:p>
    <w:p>
      <w:pPr>
        <w:spacing w:after="120" w:before="80" w:line="276"/>
        <w:jc w:val="both"/>
      </w:pPr>
      <w:r>
        <w:rPr>
          <w:rFonts w:ascii="Arial" w:cs="Arial" w:eastAsia="Arial" w:hAnsi="Arial"/>
          <w:color w:val="000000"/>
          <w:sz w:val="22"/>
          <w:szCs w:val="22"/>
        </w:rPr>
        <w:t xml:space="preserve">The government is now doing things about all of this. Growth has slowed from 22% annually to around 10%. Fraud crackdowns are underway. Foundational supports for people outside the core scheme are being developed. These are genuinely positive developments.</w:t>
      </w:r>
    </w:p>
    <w:p>
      <w:pPr>
        <w:spacing w:after="0" w:before="80"/>
      </w:pPr>
      <w:r>
        <w:t xml:space="preserve"/>
      </w:r>
    </w:p>
    <w:p>
      <w:pPr>
        <w:spacing w:after="120" w:before="80" w:line="276"/>
        <w:jc w:val="both"/>
      </w:pPr>
      <w:r>
        <w:rPr>
          <w:rFonts w:ascii="Arial" w:cs="Arial" w:eastAsia="Arial" w:hAnsi="Arial"/>
          <w:color w:val="000000"/>
          <w:sz w:val="22"/>
          <w:szCs w:val="22"/>
        </w:rPr>
        <w:t xml:space="preserve">But the government's own target — 8% annual growth by 2026 — is explicitly described as an interim goal only, because 8% is still unsustainable. The Productivity Commission said in 2017 that 4-5% growth would be appropriate once the scheme was fully established. We are still more than double that under the best-case scenario.</w:t>
      </w:r>
    </w:p>
    <w:p>
      <w:pPr>
        <w:spacing w:after="0" w:before="80"/>
      </w:pPr>
      <w:r>
        <w:t xml:space="preserve"/>
      </w:r>
    </w:p>
    <w:p>
      <w:pPr>
        <w:spacing w:after="120" w:before="80" w:line="276"/>
        <w:jc w:val="both"/>
      </w:pPr>
      <w:r>
        <w:rPr>
          <w:rFonts w:ascii="Arial" w:cs="Arial" w:eastAsia="Arial" w:hAnsi="Arial"/>
          <w:color w:val="000000"/>
          <w:sz w:val="22"/>
          <w:szCs w:val="22"/>
        </w:rPr>
        <w:t xml:space="preserve">Slowing a structural problem is not the same as fixing it.</w:t>
      </w:r>
    </w:p>
    <w:p>
      <w:pPr>
        <w:spacing w:after="0" w:before="80"/>
      </w:pPr>
      <w:r>
        <w:t xml:space="preserve"/>
      </w:r>
    </w:p>
    <w:p>
      <w:pPr>
        <w:spacing w:after="120" w:before="80" w:line="276"/>
        <w:jc w:val="both"/>
      </w:pPr>
      <w:r>
        <w:rPr>
          <w:rFonts w:ascii="Arial" w:cs="Arial" w:eastAsia="Arial" w:hAnsi="Arial"/>
          <w:color w:val="000000"/>
          <w:sz w:val="22"/>
          <w:szCs w:val="22"/>
        </w:rPr>
        <w:t xml:space="preserve">What would actually fix it is returning the scheme to what the word insurance genuinely implies: independent actuarial governance with a binding relationship to budget policy; a three-tier structure that separates the severe and permanent cohort the scheme was built for from the broader population that needs a different kind of support; a licensing regime for providers that makes accountability the price of market access; and outcome measures that mean something.</w:t>
      </w:r>
    </w:p>
    <w:p>
      <w:pPr>
        <w:spacing w:after="0" w:before="80"/>
      </w:pPr>
      <w:r>
        <w:t xml:space="preserve"/>
      </w:r>
    </w:p>
    <w:p>
      <w:pPr>
        <w:spacing w:after="120" w:before="80" w:line="276"/>
        <w:jc w:val="both"/>
      </w:pPr>
      <w:r>
        <w:rPr>
          <w:rFonts w:ascii="Arial" w:cs="Arial" w:eastAsia="Arial" w:hAnsi="Arial"/>
          <w:color w:val="000000"/>
          <w:sz w:val="22"/>
          <w:szCs w:val="22"/>
        </w:rPr>
        <w:t xml:space="preserve">None of this requires spending less on disability. It requires spending honestly — with a system that knows what it is, measures whether it works, and stops pretending that calling something insurance is the same as running it like one.</w:t>
      </w:r>
    </w:p>
    <w:p>
      <w:pPr>
        <w:spacing w:after="0" w:before="80"/>
      </w:pPr>
      <w:r>
        <w:t xml:space="preserve"/>
      </w:r>
    </w:p>
    <w:p>
      <w:pPr>
        <w:spacing w:after="120" w:before="80" w:line="276"/>
        <w:jc w:val="both"/>
      </w:pPr>
      <w:r>
        <w:rPr>
          <w:rFonts w:ascii="Arial" w:cs="Arial" w:eastAsia="Arial" w:hAnsi="Arial"/>
          <w:color w:val="000000"/>
          <w:sz w:val="22"/>
          <w:szCs w:val="22"/>
        </w:rPr>
        <w:t xml:space="preserve">The NDIS is one of Australia's most important social achievements. The 739,000 Australians who depend on it deserve better than a scheme that is structurally incoherent, financially unsustainable, and increasingly unable to serve the people who need it most.</w:t>
      </w:r>
    </w:p>
    <w:p>
      <w:pPr>
        <w:spacing w:after="0" w:before="80"/>
      </w:pPr>
      <w:r>
        <w:t xml:space="preserve"/>
      </w:r>
    </w:p>
    <w:p>
      <w:pPr>
        <w:spacing w:after="120" w:before="80" w:line="276"/>
        <w:jc w:val="both"/>
      </w:pPr>
      <w:r>
        <w:rPr>
          <w:rFonts w:ascii="Arial" w:cs="Arial" w:eastAsia="Arial" w:hAnsi="Arial"/>
          <w:b/>
          <w:bCs/>
          <w:color w:val="000000"/>
          <w:sz w:val="22"/>
          <w:szCs w:val="22"/>
        </w:rPr>
        <w:t xml:space="preserve">We built it to last. It is time to build it properly.</w:t>
      </w:r>
    </w:p>
    <w:p>
      <w:pPr>
        <w:spacing w:after="0" w:before="200"/>
      </w:pPr>
      <w:r>
        <w:t xml:space="preserve"/>
      </w:r>
    </w:p>
    <w:p>
      <w:pPr>
        <w:pBdr>
          <w:top w:val="single" w:color="CCCCCC" w:sz="2" w:space="6"/>
        </w:pBdr>
        <w:spacing w:after="0" w:before="120"/>
      </w:pPr>
      <w:r>
        <w:rPr>
          <w:rFonts w:ascii="Arial" w:cs="Arial" w:eastAsia="Arial" w:hAnsi="Arial"/>
          <w:i/>
          <w:iCs/>
          <w:color w:val="595959"/>
          <w:sz w:val="18"/>
          <w:szCs w:val="18"/>
        </w:rPr>
        <w:t xml:space="preserve">This op-ed is drawn from the accompanying policy discussion paper: 'The NDIS Insurance Myth: Why Calling It a Scheme Does Not Make It One.' Full references and structural reform proposals are contained in the policy paper.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6"/>
        <w:szCs w:val="16"/>
      </w:rPr>
      <w:t xml:space="preserve">The NDIS Insurance Myth: A Structural Reform Argument  |  Independent Policy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POLICY DISCUSSION PAPER  |  AUSTRALIA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2026-03-31T10:52:40.038Z</dcterms:created>
  <dcterms:modified xsi:type="dcterms:W3CDTF">2026-03-31T10:52:40.039Z</dcterms:modified>
</cp:coreProperties>
</file>

<file path=docProps/custom.xml><?xml version="1.0" encoding="utf-8"?>
<Properties xmlns="http://schemas.openxmlformats.org/officeDocument/2006/custom-properties" xmlns:vt="http://schemas.openxmlformats.org/officeDocument/2006/docPropsVTypes"/>
</file>