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aps/>
          <w:color w:val="2E75B6"/>
          <w:sz w:val="20"/>
          <w:szCs w:val="20"/>
        </w:rPr>
        <w:t xml:space="preserve">POLICY DISCUSSION PAPER</w:t>
      </w:r>
    </w:p>
    <w:p>
      <w:pPr>
        <w:spacing w:after="120" w:before="0"/>
      </w:pPr>
      <w:r>
        <w:rPr>
          <w:rFonts w:ascii="Arial" w:cs="Arial" w:eastAsia="Arial" w:hAnsi="Arial"/>
          <w:b/>
          <w:bCs/>
          <w:color w:val="1F3864"/>
          <w:sz w:val="40"/>
          <w:szCs w:val="40"/>
        </w:rPr>
        <w:t xml:space="preserve">Remittance Outflows, Immigration, and Housing Affordability:</w:t>
      </w:r>
    </w:p>
    <w:p>
      <w:pPr>
        <w:spacing w:after="360" w:before="0"/>
      </w:pPr>
      <w:r>
        <w:rPr>
          <w:rFonts w:ascii="Arial" w:cs="Arial" w:eastAsia="Arial" w:hAnsi="Arial"/>
          <w:b/>
          <w:bCs/>
          <w:color w:val="2E75B6"/>
          <w:sz w:val="36"/>
          <w:szCs w:val="36"/>
        </w:rPr>
        <w:t xml:space="preserve">The Case for a Remittance Levy in Australia</w:t>
      </w:r>
    </w:p>
    <w:p>
      <w:pPr>
        <w:pBdr>
          <w:bottom w:val="single" w:color="2E75B6" w:sz="8" w:space="6"/>
        </w:pBdr>
        <w:spacing w:after="480" w:before="0"/>
      </w:pPr>
      <w:r>
        <w:rPr>
          <w:rFonts w:ascii="Arial" w:cs="Arial" w:eastAsia="Arial" w:hAnsi="Arial"/>
          <w:i/>
          <w:iCs/>
          <w:color w:val="595959"/>
          <w:sz w:val="22"/>
          <w:szCs w:val="22"/>
        </w:rPr>
        <w:t xml:space="preserve">An independent policy discussion paper examining aggregate economic leakage from remittance outflows and its relationship to housing affordability in Australia.</w:t>
      </w:r>
    </w:p>
    <w:p>
      <w:pPr>
        <w:spacing w:after="120" w:before="0"/>
      </w:pPr>
      <w:r>
        <w:rPr>
          <w:rFonts w:ascii="Arial" w:cs="Arial" w:eastAsia="Arial" w:hAnsi="Arial"/>
          <w:b/>
          <w:bCs/>
          <w:caps/>
          <w:color w:val="2E75B6"/>
          <w:sz w:val="18"/>
          <w:szCs w:val="18"/>
        </w:rPr>
        <w:t xml:space="preserve">KEY STATISTICS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
        <w:gridCol w:w="3000"/>
        <w:gridCol w:w="60"/>
        <w:gridCol w:w="2906"/>
      </w:tblGrid>
      <w:tr>
        <w:tc>
          <w:tcPr>
            <w:tcW w:type="dxa" w:w="300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jc w:val="center"/>
            </w:pPr>
            <w:r>
              <w:rPr>
                <w:rFonts w:ascii="Arial" w:cs="Arial" w:eastAsia="Arial" w:hAnsi="Arial"/>
                <w:b/>
                <w:bCs/>
                <w:color w:val="1F3864"/>
                <w:sz w:val="40"/>
                <w:szCs w:val="40"/>
              </w:rPr>
              <w:t xml:space="preserve">USD $25B</w:t>
            </w:r>
          </w:p>
          <w:p>
            <w:pPr>
              <w:jc w:val="center"/>
            </w:pPr>
            <w:r>
              <w:rPr>
                <w:rFonts w:ascii="Arial" w:cs="Arial" w:eastAsia="Arial" w:hAnsi="Arial"/>
                <w:b/>
                <w:bCs/>
                <w:color w:val="2E75B6"/>
                <w:sz w:val="18"/>
                <w:szCs w:val="18"/>
              </w:rPr>
              <w:t xml:space="preserve">Remittances sent from Australia</w:t>
            </w:r>
          </w:p>
          <w:p>
            <w:pPr>
              <w:jc w:val="center"/>
            </w:pPr>
            <w:r>
              <w:rPr>
                <w:rFonts w:ascii="Arial" w:cs="Arial" w:eastAsia="Arial" w:hAnsi="Arial"/>
                <w:color w:val="595959"/>
                <w:sz w:val="16"/>
                <w:szCs w:val="16"/>
              </w:rPr>
              <w:t xml:space="preserve">annually (2024)</w:t>
            </w:r>
          </w:p>
        </w:tc>
        <w:tc>
          <w:tcPr>
            <w:tcW w:type="dxa" w:w="6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jc w:val="center"/>
            </w:pPr>
            <w:r>
              <w:rPr>
                <w:rFonts w:ascii="Arial" w:cs="Arial" w:eastAsia="Arial" w:hAnsi="Arial"/>
                <w:b/>
                <w:bCs/>
                <w:color w:val="1F3864"/>
                <w:sz w:val="40"/>
                <w:szCs w:val="40"/>
              </w:rPr>
              <w:t xml:space="preserve">340,800</w:t>
            </w:r>
          </w:p>
          <w:p>
            <w:pPr>
              <w:jc w:val="center"/>
            </w:pPr>
            <w:r>
              <w:rPr>
                <w:rFonts w:ascii="Arial" w:cs="Arial" w:eastAsia="Arial" w:hAnsi="Arial"/>
                <w:b/>
                <w:bCs/>
                <w:color w:val="2E75B6"/>
                <w:sz w:val="18"/>
                <w:szCs w:val="18"/>
              </w:rPr>
              <w:t xml:space="preserve">Population growth via migration</w:t>
            </w:r>
          </w:p>
          <w:p>
            <w:pPr>
              <w:jc w:val="center"/>
            </w:pPr>
            <w:r>
              <w:rPr>
                <w:rFonts w:ascii="Arial" w:cs="Arial" w:eastAsia="Arial" w:hAnsi="Arial"/>
                <w:color w:val="595959"/>
                <w:sz w:val="16"/>
                <w:szCs w:val="16"/>
              </w:rPr>
              <w:t xml:space="preserve">net overseas migrants (2024)</w:t>
            </w:r>
          </w:p>
        </w:tc>
        <w:tc>
          <w:tcPr>
            <w:tcW w:type="dxa" w:w="6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jc w:val="center"/>
            </w:pPr>
            <w:r>
              <w:rPr>
                <w:rFonts w:ascii="Arial" w:cs="Arial" w:eastAsia="Arial" w:hAnsi="Arial"/>
                <w:b/>
                <w:bCs/>
                <w:color w:val="1F3864"/>
                <w:sz w:val="40"/>
                <w:szCs w:val="40"/>
              </w:rPr>
              <w:t xml:space="preserve">1 per 2.1</w:t>
            </w:r>
          </w:p>
          <w:p>
            <w:pPr>
              <w:jc w:val="center"/>
            </w:pPr>
            <w:r>
              <w:rPr>
                <w:rFonts w:ascii="Arial" w:cs="Arial" w:eastAsia="Arial" w:hAnsi="Arial"/>
                <w:b/>
                <w:bCs/>
                <w:color w:val="2E75B6"/>
                <w:sz w:val="18"/>
                <w:szCs w:val="18"/>
              </w:rPr>
              <w:t xml:space="preserve">Homes built per migrant</w:t>
            </w:r>
          </w:p>
          <w:p>
            <w:pPr>
              <w:jc w:val="center"/>
            </w:pPr>
            <w:r>
              <w:rPr>
                <w:rFonts w:ascii="Arial" w:cs="Arial" w:eastAsia="Arial" w:hAnsi="Arial"/>
                <w:color w:val="595959"/>
                <w:sz w:val="16"/>
                <w:szCs w:val="16"/>
              </w:rPr>
              <w:t xml:space="preserve">migrants (Sept 2024)</w:t>
            </w:r>
          </w:p>
        </w:tc>
      </w:tr>
    </w:tbl>
    <w:p>
      <w:pPr>
        <w:spacing w:after="0" w:before="4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Executive Summary</w:t>
      </w:r>
    </w:p>
    <w:p>
      <w:pPr>
        <w:spacing w:after="120" w:before="80" w:line="276"/>
        <w:jc w:val="both"/>
      </w:pPr>
      <w:r>
        <w:rPr>
          <w:rFonts w:ascii="Arial" w:cs="Arial" w:eastAsia="Arial" w:hAnsi="Arial"/>
          <w:color w:val="000000"/>
          <w:sz w:val="22"/>
          <w:szCs w:val="22"/>
        </w:rPr>
        <w:t xml:space="preserve">Australia is experiencing simultaneous pressures: record levels of net overseas migration, a worsening housing affordability crisis, and a largely unmonitored flow of personal remittances leaving the domestic economy. This paper argues that these three issues are interconnected, and that a targeted Remittance Levy represents a practical, nationality-neutral policy instrument to address both the economic leakage and the housing supply funding gap.</w:t>
      </w:r>
    </w:p>
    <w:p>
      <w:pPr>
        <w:spacing w:after="0" w:before="80"/>
      </w:pPr>
      <w:r>
        <w:t xml:space="preserve"/>
      </w:r>
    </w:p>
    <w:p>
      <w:pPr>
        <w:spacing w:after="120" w:before="80" w:line="276"/>
        <w:jc w:val="left"/>
      </w:pPr>
      <w:r>
        <w:rPr>
          <w:rFonts w:ascii="Arial" w:cs="Arial" w:eastAsia="Arial" w:hAnsi="Arial"/>
          <w:b/>
          <w:bCs/>
          <w:color w:val="000000"/>
          <w:sz w:val="22"/>
          <w:szCs w:val="22"/>
        </w:rPr>
        <w:t xml:space="preserve">The core argument is straightforward:</w:t>
      </w:r>
    </w:p>
    <w:p>
      <w:pPr>
        <w:pStyle w:val="ListParagraph"/>
        <w:numPr>
          <w:ilvl w:val="0"/>
          <w:numId w:val="2"/>
        </w:numPr>
        <w:spacing w:after="40" w:before="40"/>
      </w:pPr>
      <w:r>
        <w:rPr>
          <w:rFonts w:ascii="Arial" w:cs="Arial" w:eastAsia="Arial" w:hAnsi="Arial"/>
          <w:sz w:val="22"/>
          <w:szCs w:val="22"/>
        </w:rPr>
        <w:t xml:space="preserve">Australia sent an estimated USD $25 billion in remittances overseas in 2024.</w:t>
      </w:r>
    </w:p>
    <w:p>
      <w:pPr>
        <w:pStyle w:val="ListParagraph"/>
        <w:numPr>
          <w:ilvl w:val="0"/>
          <w:numId w:val="2"/>
        </w:numPr>
        <w:spacing w:after="40" w:before="40"/>
      </w:pPr>
      <w:r>
        <w:rPr>
          <w:rFonts w:ascii="Arial" w:cs="Arial" w:eastAsia="Arial" w:hAnsi="Arial"/>
          <w:sz w:val="22"/>
          <w:szCs w:val="22"/>
        </w:rPr>
        <w:t xml:space="preserve">This represents a significant, aggregate withdrawal from the domestic economy that is currently neither monitored nor addressed by policy.</w:t>
      </w:r>
    </w:p>
    <w:p>
      <w:pPr>
        <w:pStyle w:val="ListParagraph"/>
        <w:numPr>
          <w:ilvl w:val="0"/>
          <w:numId w:val="2"/>
        </w:numPr>
        <w:spacing w:after="40" w:before="40"/>
      </w:pPr>
      <w:r>
        <w:rPr>
          <w:rFonts w:ascii="Arial" w:cs="Arial" w:eastAsia="Arial" w:hAnsi="Arial"/>
          <w:sz w:val="22"/>
          <w:szCs w:val="22"/>
        </w:rPr>
        <w:t xml:space="preserve">A modest levy on international personal transfers above a defined threshold would generate substantial revenue, which could be hypothecated directly to housing supply infrastructure.</w:t>
      </w:r>
    </w:p>
    <w:p>
      <w:pPr>
        <w:pStyle w:val="ListParagraph"/>
        <w:numPr>
          <w:ilvl w:val="0"/>
          <w:numId w:val="2"/>
        </w:numPr>
        <w:spacing w:after="40" w:before="40"/>
      </w:pPr>
      <w:r>
        <w:rPr>
          <w:rFonts w:ascii="Arial" w:cs="Arial" w:eastAsia="Arial" w:hAnsi="Arial"/>
          <w:sz w:val="22"/>
          <w:szCs w:val="22"/>
        </w:rPr>
        <w:t xml:space="preserve">Such a levy would apply equally to all senders regardless of nationality, making it legally and ethically sound.</w:t>
      </w:r>
    </w:p>
    <w:p>
      <w:pPr>
        <w:pStyle w:val="ListParagraph"/>
        <w:numPr>
          <w:ilvl w:val="0"/>
          <w:numId w:val="2"/>
        </w:numPr>
        <w:spacing w:after="40" w:before="40"/>
      </w:pPr>
      <w:r>
        <w:rPr>
          <w:rFonts w:ascii="Arial" w:cs="Arial" w:eastAsia="Arial" w:hAnsi="Arial"/>
          <w:sz w:val="22"/>
          <w:szCs w:val="22"/>
        </w:rPr>
        <w:t xml:space="preserve">Comparable levies have been successfully implemented in Gulf Cooperation Council (GCC) nations including Saudi Arabia and Bahrain.</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1. The Housing Affordability Crisis</w:t>
      </w:r>
    </w:p>
    <w:p>
      <w:pPr>
        <w:spacing w:after="120" w:before="80" w:line="276"/>
        <w:jc w:val="both"/>
      </w:pPr>
      <w:r>
        <w:rPr>
          <w:rFonts w:ascii="Arial" w:cs="Arial" w:eastAsia="Arial" w:hAnsi="Arial"/>
          <w:color w:val="000000"/>
          <w:sz w:val="22"/>
          <w:szCs w:val="22"/>
        </w:rPr>
        <w:t xml:space="preserve">Australia's housing market has reached a critical juncture. Average house prices in Sydney stand at approximately AUD $1.4 million, with Melbourne at AUD $940,000. For first-home buyers, and increasingly for long-term renters, these prices represent a structural barrier to housing security.</w:t>
      </w:r>
    </w:p>
    <w:p>
      <w:pPr>
        <w:spacing w:after="0" w:before="80"/>
      </w:pPr>
      <w:r>
        <w:t xml:space="preserve"/>
      </w:r>
    </w:p>
    <w:p>
      <w:pPr>
        <w:pStyle w:val="Heading2"/>
        <w:spacing w:after="80" w:before="240"/>
      </w:pPr>
      <w:r>
        <w:rPr>
          <w:rFonts w:ascii="Arial" w:cs="Arial" w:eastAsia="Arial" w:hAnsi="Arial"/>
          <w:b/>
          <w:bCs/>
          <w:color w:val="2E75B6"/>
          <w:sz w:val="24"/>
          <w:szCs w:val="24"/>
        </w:rPr>
        <w:t xml:space="preserve">1.1 The Immigration-Housing Nexus</w:t>
      </w:r>
    </w:p>
    <w:p>
      <w:pPr>
        <w:spacing w:after="120" w:before="80" w:line="276"/>
        <w:jc w:val="both"/>
      </w:pPr>
      <w:r>
        <w:rPr>
          <w:rFonts w:ascii="Arial" w:cs="Arial" w:eastAsia="Arial" w:hAnsi="Arial"/>
          <w:color w:val="000000"/>
          <w:sz w:val="22"/>
          <w:szCs w:val="22"/>
        </w:rPr>
        <w:t xml:space="preserve">Peer-reviewed research consistently demonstrates a statistically significant relationship between immigration inflows and housing price growth in Australia. Published research in academic journals found that an immigrant inflow of 1% of a postcode's population raises housing prices by approximately 0.9% per year. Research by the Australian Housing and Urban Research Institute (AHURI) found that roughly one-third of rental price increases over the past two decades can be attributed to migration-driven demand.</w:t>
      </w:r>
    </w:p>
    <w:p>
      <w:pPr>
        <w:spacing w:after="0" w:before="80"/>
      </w:pPr>
      <w:r>
        <w:t xml:space="preserve"/>
      </w:r>
    </w:p>
    <w:p>
      <w:pPr>
        <w:spacing w:after="120" w:before="80" w:line="276"/>
        <w:jc w:val="both"/>
      </w:pPr>
      <w:r>
        <w:rPr>
          <w:rFonts w:ascii="Arial" w:cs="Arial" w:eastAsia="Arial" w:hAnsi="Arial"/>
          <w:color w:val="000000"/>
          <w:sz w:val="22"/>
          <w:szCs w:val="22"/>
        </w:rPr>
        <w:t xml:space="preserve">The issue is not immigration per se, but the pace of population growth relative to housing supply. Leading property analyst Cameron Kusher has noted that in the 29 years to September 2024, Australia averaged one new dwelling per net overseas migrant. That ratio has deteriorated sharply: by September 2024, Australia was building only one home for every 2.1 new arrivals — and this figure peaked at one home per 3.2 arrivals in 2023.</w:t>
      </w:r>
    </w:p>
    <w:p>
      <w:pPr>
        <w:spacing w:after="0" w:before="80"/>
      </w:pPr>
      <w:r>
        <w:t xml:space="preserve"/>
      </w:r>
    </w:p>
    <w:p>
      <w:pPr>
        <w:spacing w:after="120" w:before="80" w:line="276"/>
        <w:jc w:val="both"/>
      </w:pPr>
      <w:r>
        <w:rPr>
          <w:rFonts w:ascii="Arial" w:cs="Arial" w:eastAsia="Arial" w:hAnsi="Arial"/>
          <w:color w:val="000000"/>
          <w:sz w:val="22"/>
          <w:szCs w:val="22"/>
        </w:rPr>
        <w:t xml:space="preserve">Australia's net overseas migration reached 340,800 in 2024, with the country's population growing by 445,900 people — largely driven by immigration. Meanwhile, dwelling commencements over the year to December 2024 were 28.3% below the historical high, and well below the volumes seen in the mid-to-late 2010s. The housing supply response has been structurally inelastic to rapid demand increases.</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2. The Remittance Outflow Problem</w:t>
      </w:r>
    </w:p>
    <w:p>
      <w:pPr>
        <w:pStyle w:val="Heading2"/>
        <w:spacing w:after="80" w:before="240"/>
      </w:pPr>
      <w:r>
        <w:rPr>
          <w:rFonts w:ascii="Arial" w:cs="Arial" w:eastAsia="Arial" w:hAnsi="Arial"/>
          <w:b/>
          <w:bCs/>
          <w:color w:val="2E75B6"/>
          <w:sz w:val="24"/>
          <w:szCs w:val="24"/>
        </w:rPr>
        <w:t xml:space="preserve">2.1 Scale of Outflows</w:t>
      </w:r>
    </w:p>
    <w:p>
      <w:pPr>
        <w:spacing w:after="120" w:before="80" w:line="276"/>
        <w:jc w:val="both"/>
      </w:pPr>
      <w:r>
        <w:rPr>
          <w:rFonts w:ascii="Arial" w:cs="Arial" w:eastAsia="Arial" w:hAnsi="Arial"/>
          <w:color w:val="000000"/>
          <w:sz w:val="22"/>
          <w:szCs w:val="22"/>
        </w:rPr>
        <w:t xml:space="preserve">Australia is one of the world's significant remittance-sending nations. According to analysis based on World Bank and ABS data, Australia sent an estimated USD $25 billion in remittances overseas in 2024. The largest destination countries were India (approximately USD $4.8 billion) and China (approximately USD $3.5 billion), with the Philippines, Vietnam and Pacific Island nations also receiving substantial sums.</w:t>
      </w:r>
    </w:p>
    <w:p>
      <w:pPr>
        <w:spacing w:after="0" w:before="80"/>
      </w:pPr>
      <w:r>
        <w:t xml:space="preserve"/>
      </w:r>
    </w:p>
    <w:p>
      <w:pPr>
        <w:spacing w:after="120" w:before="80" w:line="276"/>
        <w:jc w:val="both"/>
      </w:pPr>
      <w:r>
        <w:rPr>
          <w:rFonts w:ascii="Arial" w:cs="Arial" w:eastAsia="Arial" w:hAnsi="Arial"/>
          <w:color w:val="000000"/>
          <w:sz w:val="22"/>
          <w:szCs w:val="22"/>
        </w:rPr>
        <w:t xml:space="preserve">Australia's remittances represented 1.4% of total global remittance flows in 2022, and the Australian Government's own G20 National Remittances Plan acknowledges that since 2000, remittance growth from Australia has exceeded the global average.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2.2 The Aggregate Effect</w:t>
      </w:r>
    </w:p>
    <w:p>
      <w:pPr>
        <w:spacing w:after="120" w:before="80" w:line="276"/>
        <w:jc w:val="both"/>
      </w:pPr>
      <w:r>
        <w:rPr>
          <w:rFonts w:ascii="Arial" w:cs="Arial" w:eastAsia="Arial" w:hAnsi="Arial"/>
          <w:color w:val="000000"/>
          <w:sz w:val="22"/>
          <w:szCs w:val="22"/>
        </w:rPr>
        <w:t xml:space="preserve">Individual remittance transactions are modest and entirely lawful. However, the aggregate economic effect is substantial and currently unaddressed by policy. Consider a simple illustrative model: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4513"/>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Annual Economic Leakage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100,000 senders remitting AUD $2,000/month</w:t>
            </w:r>
          </w:p>
        </w:tc>
        <w:tc>
          <w:tcPr>
            <w:tcW w:type="dxa" w:w="45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AUD $2.4 billion</w:t>
            </w:r>
          </w:p>
        </w:tc>
      </w:tr>
      <w:tr>
        <w:tc>
          <w:tcPr>
            <w:tcW w:type="dxa" w:w="4513"/>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500,000 senders remitting AUD $1,500/month</w:t>
            </w:r>
          </w:p>
        </w:tc>
        <w:tc>
          <w:tcPr>
            <w:tcW w:type="dxa" w:w="4513"/>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3864"/>
                <w:sz w:val="20"/>
                <w:szCs w:val="20"/>
              </w:rPr>
              <w:t xml:space="preserve">AUD $9 billion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Total estimated outflows (World Bank / ABS, 2024)</w:t>
            </w:r>
          </w:p>
        </w:tc>
        <w:tc>
          <w:tcPr>
            <w:tcW w:type="dxa" w:w="4513"/>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USD $25 billion (~AUD $38B)</w:t>
            </w:r>
          </w:p>
        </w:tc>
      </w:tr>
    </w:tbl>
    <w:p>
      <w:pPr>
        <w:spacing w:after="0" w:before="120"/>
      </w:pPr>
      <w:r>
        <w:t xml:space="preserve"/>
      </w:r>
    </w:p>
    <w:p>
      <w:pPr>
        <w:spacing w:after="120" w:before="80" w:line="276"/>
        <w:jc w:val="both"/>
      </w:pPr>
      <w:r>
        <w:rPr>
          <w:rFonts w:ascii="Arial" w:cs="Arial" w:eastAsia="Arial" w:hAnsi="Arial"/>
          <w:color w:val="000000"/>
          <w:sz w:val="22"/>
          <w:szCs w:val="22"/>
        </w:rPr>
        <w:t xml:space="preserve">This capital does not circulate in Australian retail, housing, or savings markets. It is not captured by Australian tax policy beyond the income tax already paid on the underlying wages. The aggregate withdrawal is economically meaningful and, critically, is currently invisible to domestic macroeconomic policy.</w:t>
      </w:r>
    </w:p>
    <w:p>
      <w:pPr>
        <w:spacing w:after="0" w:before="80"/>
      </w:pPr>
      <w:r>
        <w:t xml:space="preserve"/>
      </w:r>
    </w:p>
    <w:p>
      <w:pPr>
        <w:pStyle w:val="Heading2"/>
        <w:spacing w:after="80" w:before="240"/>
      </w:pPr>
      <w:r>
        <w:rPr>
          <w:rFonts w:ascii="Arial" w:cs="Arial" w:eastAsia="Arial" w:hAnsi="Arial"/>
          <w:b/>
          <w:bCs/>
          <w:color w:val="2E75B6"/>
          <w:sz w:val="24"/>
          <w:szCs w:val="24"/>
        </w:rPr>
        <w:t xml:space="preserve">2.3 The Data Gap</w:t>
      </w:r>
    </w:p>
    <w:p>
      <w:pPr>
        <w:spacing w:after="120" w:before="80" w:line="276"/>
        <w:jc w:val="both"/>
      </w:pPr>
      <w:r>
        <w:rPr>
          <w:rFonts w:ascii="Arial" w:cs="Arial" w:eastAsia="Arial" w:hAnsi="Arial"/>
          <w:color w:val="000000"/>
          <w:sz w:val="22"/>
          <w:szCs w:val="22"/>
        </w:rPr>
        <w:t xml:space="preserve">Unlike financial flows related to trade or investment, personal remittances are poorly tracked in Australia. The Australian Government's own G20 National Remittances Plan focuses primarily on the cost and accessibility of transfer services, not on aggregate economic impact. AUSTRAC monitors remittance providers for anti-money-laundering compliance, but there is no domestic policy framework that analyses or responds to the macroeconomic aggregate effect of outflows.</w:t>
      </w:r>
    </w:p>
    <w:p>
      <w:pPr>
        <w:spacing w:after="0" w:before="80"/>
      </w:pPr>
      <w:r>
        <w:t xml:space="preserve"/>
      </w:r>
    </w:p>
    <w:p>
      <w:pPr>
        <w:spacing w:after="120" w:before="80" w:line="276"/>
        <w:jc w:val="both"/>
      </w:pPr>
      <w:r>
        <w:rPr>
          <w:rFonts w:ascii="Arial" w:cs="Arial" w:eastAsia="Arial" w:hAnsi="Arial"/>
          <w:color w:val="000000"/>
          <w:sz w:val="22"/>
          <w:szCs w:val="22"/>
        </w:rPr>
        <w:t xml:space="preserve">This represents a significant gap in Australia's economic policy architecture. The data exists — through AUSTRAC reporting, ABS census data, and World Bank estimates — but it is not being synthesised into a coherent policy response.</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3. Policy Proposal: A Remittance Levy</w:t>
      </w:r>
    </w:p>
    <w:p>
      <w:pPr>
        <w:pStyle w:val="Heading2"/>
        <w:spacing w:after="80" w:before="240"/>
      </w:pPr>
      <w:r>
        <w:rPr>
          <w:rFonts w:ascii="Arial" w:cs="Arial" w:eastAsia="Arial" w:hAnsi="Arial"/>
          <w:b/>
          <w:bCs/>
          <w:color w:val="2E75B6"/>
          <w:sz w:val="24"/>
          <w:szCs w:val="24"/>
        </w:rPr>
        <w:t xml:space="preserve">3.1 The Mechanism</w:t>
      </w:r>
    </w:p>
    <w:p>
      <w:pPr>
        <w:spacing w:after="120" w:before="80" w:line="276"/>
        <w:jc w:val="both"/>
      </w:pPr>
      <w:r>
        <w:rPr>
          <w:rFonts w:ascii="Arial" w:cs="Arial" w:eastAsia="Arial" w:hAnsi="Arial"/>
          <w:color w:val="000000"/>
          <w:sz w:val="22"/>
          <w:szCs w:val="22"/>
        </w:rPr>
        <w:t xml:space="preserve">This paper proposes the introduction of a Remittance Levy — a percentage-based charge applied to international personal transfers above a defined monthly threshold. The key design parameters would be: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c>
          <w:tcPr>
            <w:tcW w:type="dxa" w:w="58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Recommended Design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Levy Rate</w:t>
            </w:r>
          </w:p>
        </w:tc>
        <w:tc>
          <w:tcPr>
            <w:tcW w:type="dxa" w:w="58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5% on transfers above the monthly threshold</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Monthly Threshold</w:t>
            </w:r>
          </w:p>
        </w:tc>
        <w:tc>
          <w:tcPr>
            <w:tcW w:type="dxa" w:w="5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AUD $500 per calendar month (protecting low-income senders)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Scope</w:t>
            </w:r>
          </w:p>
        </w:tc>
        <w:tc>
          <w:tcPr>
            <w:tcW w:type="dxa" w:w="58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All personal international transfers from Australian bank accounts, regardless of sender nationality</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Administration</w:t>
            </w:r>
          </w:p>
        </w:tc>
        <w:tc>
          <w:tcPr>
            <w:tcW w:type="dxa" w:w="5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Collected at point of transfer by licensed remittance providers and financial institutions; reported to AUSTRAC</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Revenue Hypothecation</w:t>
            </w:r>
          </w:p>
        </w:tc>
        <w:tc>
          <w:tcPr>
            <w:tcW w:type="dxa" w:w="58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F3864"/>
                <w:sz w:val="20"/>
                <w:szCs w:val="20"/>
              </w:rPr>
              <w:t xml:space="preserve">100% directed to a dedicated Housing Supply Fund for infrastructure, social housing, and first-home construction subsidies</w:t>
            </w:r>
          </w:p>
        </w:tc>
      </w:tr>
    </w:tbl>
    <w:p>
      <w:pPr>
        <w:spacing w:after="0" w:before="200"/>
      </w:pPr>
      <w:r>
        <w:t xml:space="preserve"/>
      </w:r>
    </w:p>
    <w:p>
      <w:pPr>
        <w:pStyle w:val="Heading2"/>
        <w:spacing w:after="80" w:before="240"/>
      </w:pPr>
      <w:r>
        <w:rPr>
          <w:rFonts w:ascii="Arial" w:cs="Arial" w:eastAsia="Arial" w:hAnsi="Arial"/>
          <w:b/>
          <w:bCs/>
          <w:color w:val="2E75B6"/>
          <w:sz w:val="24"/>
          <w:szCs w:val="24"/>
        </w:rPr>
        <w:t xml:space="preserve">3.2 Precedent: International Models</w:t>
      </w:r>
    </w:p>
    <w:p>
      <w:pPr>
        <w:spacing w:after="120" w:before="80" w:line="276"/>
        <w:jc w:val="both"/>
      </w:pPr>
      <w:r>
        <w:rPr>
          <w:rFonts w:ascii="Arial" w:cs="Arial" w:eastAsia="Arial" w:hAnsi="Arial"/>
          <w:color w:val="000000"/>
          <w:sz w:val="22"/>
          <w:szCs w:val="22"/>
        </w:rPr>
        <w:t xml:space="preserve">This is not a novel concept. Several countries have implemented analogous measures:</w:t>
      </w:r>
    </w:p>
    <w:p>
      <w:pPr>
        <w:pStyle w:val="ListParagraph"/>
        <w:numPr>
          <w:ilvl w:val="0"/>
          <w:numId w:val="2"/>
        </w:numPr>
        <w:spacing w:after="40" w:before="40"/>
      </w:pPr>
      <w:r>
        <w:rPr>
          <w:rFonts w:ascii="Arial" w:cs="Arial" w:eastAsia="Arial" w:hAnsi="Arial"/>
          <w:sz w:val="22"/>
          <w:szCs w:val="22"/>
        </w:rPr>
        <w:t xml:space="preserve">Saudi Arabia: Introduced a remittance levy for expatriate workers, generating significant sovereign revenue while maintaining immigration flows necessary for the economy.</w:t>
      </w:r>
    </w:p>
    <w:p>
      <w:pPr>
        <w:pStyle w:val="ListParagraph"/>
        <w:numPr>
          <w:ilvl w:val="0"/>
          <w:numId w:val="2"/>
        </w:numPr>
        <w:spacing w:after="40" w:before="40"/>
      </w:pPr>
      <w:r>
        <w:rPr>
          <w:rFonts w:ascii="Arial" w:cs="Arial" w:eastAsia="Arial" w:hAnsi="Arial"/>
          <w:sz w:val="22"/>
          <w:szCs w:val="22"/>
        </w:rPr>
        <w:t xml:space="preserve">Bahrain: Applies a levy to transfers made by non-citizen workers, with revenue directed to social programs.</w:t>
      </w:r>
    </w:p>
    <w:p>
      <w:pPr>
        <w:pStyle w:val="ListParagraph"/>
        <w:numPr>
          <w:ilvl w:val="0"/>
          <w:numId w:val="2"/>
        </w:numPr>
        <w:spacing w:after="40" w:before="40"/>
      </w:pPr>
      <w:r>
        <w:rPr>
          <w:rFonts w:ascii="Arial" w:cs="Arial" w:eastAsia="Arial" w:hAnsi="Arial"/>
          <w:sz w:val="22"/>
          <w:szCs w:val="22"/>
        </w:rPr>
        <w:t xml:space="preserve">United States: Has at various times proposed federal remittance tax legislation, reflecting bipartisan recognition of the aggregate economic significance of outflows.</w:t>
      </w:r>
    </w:p>
    <w:p>
      <w:pPr>
        <w:spacing w:after="0" w:before="80"/>
      </w:pPr>
      <w:r>
        <w:t xml:space="preserve"/>
      </w:r>
    </w:p>
    <w:p>
      <w:pPr>
        <w:spacing w:after="120" w:before="80" w:line="276"/>
        <w:jc w:val="both"/>
      </w:pPr>
      <w:r>
        <w:rPr>
          <w:rFonts w:ascii="Arial" w:cs="Arial" w:eastAsia="Arial" w:hAnsi="Arial"/>
          <w:color w:val="000000"/>
          <w:sz w:val="22"/>
          <w:szCs w:val="22"/>
        </w:rPr>
        <w:t xml:space="preserve">Critically, in each case the levy did not substantially reduce the volume of migration or remittance activity — suggesting that motivated economic migrants absorb modest transfer costs as a cost of participation in a higher-wage labour market.</w:t>
      </w:r>
    </w:p>
    <w:p>
      <w:pPr>
        <w:spacing w:after="0" w:before="200"/>
      </w:pPr>
      <w:r>
        <w:t xml:space="preserve"/>
      </w:r>
    </w:p>
    <w:p>
      <w:pPr>
        <w:pStyle w:val="Heading2"/>
        <w:spacing w:after="80" w:before="240"/>
      </w:pPr>
      <w:r>
        <w:rPr>
          <w:rFonts w:ascii="Arial" w:cs="Arial" w:eastAsia="Arial" w:hAnsi="Arial"/>
          <w:b/>
          <w:bCs/>
          <w:color w:val="2E75B6"/>
          <w:sz w:val="24"/>
          <w:szCs w:val="24"/>
        </w:rPr>
        <w:t xml:space="preserve">3.3 Revenue Estimate</w:t>
      </w:r>
    </w:p>
    <w:p>
      <w:pPr>
        <w:spacing w:after="120" w:before="80" w:line="276"/>
        <w:jc w:val="both"/>
      </w:pPr>
      <w:r>
        <w:rPr>
          <w:rFonts w:ascii="Arial" w:cs="Arial" w:eastAsia="Arial" w:hAnsi="Arial"/>
          <w:color w:val="000000"/>
          <w:sz w:val="22"/>
          <w:szCs w:val="22"/>
        </w:rPr>
        <w:t xml:space="preserve">A conservative revenue model, assuming a 5% levy applies to 30% of total estimated outflows above the threshold, would generate approximately AUD $570 million to AUD $1.2 billion per annum. Under more complete compliance, revenue could approach AUD $2 billion annually. This is material in the context of Australia's housing infrastructure deficit.</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4. Addressing Counterarguments</w:t>
      </w:r>
    </w:p>
    <w:p>
      <w:pPr>
        <w:pStyle w:val="Heading2"/>
        <w:spacing w:after="80" w:before="240"/>
      </w:pPr>
      <w:r>
        <w:rPr>
          <w:rFonts w:ascii="Arial" w:cs="Arial" w:eastAsia="Arial" w:hAnsi="Arial"/>
          <w:b/>
          <w:bCs/>
          <w:color w:val="2E75B6"/>
          <w:sz w:val="24"/>
          <w:szCs w:val="24"/>
        </w:rPr>
        <w:t xml:space="preserve">4.1 "This Would Deter Skilled Immigration"</w:t>
      </w:r>
    </w:p>
    <w:p>
      <w:pPr>
        <w:spacing w:after="120" w:before="80" w:line="276"/>
        <w:jc w:val="both"/>
      </w:pPr>
      <w:r>
        <w:rPr>
          <w:rFonts w:ascii="Arial" w:cs="Arial" w:eastAsia="Arial" w:hAnsi="Arial"/>
          <w:color w:val="000000"/>
          <w:sz w:val="22"/>
          <w:szCs w:val="22"/>
        </w:rPr>
        <w:t xml:space="preserve">The evidence from comparable jurisdictions suggests that a 5% levy on transfers above $500/month has minimal deterrent effect on skilled migration decisions. Workers choosing between destination countries weigh wages, quality of life, visa pathways, and career prospects — not marginal transfer costs. Australia's existing advantages in these areas remain intact.</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4.2 "Immigrants Also Build Houses"</w:t>
      </w:r>
    </w:p>
    <w:p>
      <w:pPr>
        <w:spacing w:after="120" w:before="80" w:line="276"/>
        <w:jc w:val="both"/>
      </w:pPr>
      <w:r>
        <w:rPr>
          <w:rFonts w:ascii="Arial" w:cs="Arial" w:eastAsia="Arial" w:hAnsi="Arial"/>
          <w:color w:val="000000"/>
          <w:sz w:val="22"/>
          <w:szCs w:val="22"/>
        </w:rPr>
        <w:t xml:space="preserve">This is a valid and important point. A significant proportion of Australia's construction workforce is migrant-sourced, and any policy that dramatically reduced immigration would also slow the supply response. This paper does not argue for reduced immigration — it argues for a revenue instrument to fund housing supply. The levy is complementary to, not a substitute for, immigration.</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4.3 "Tax Reform Is More Important"</w:t>
      </w:r>
    </w:p>
    <w:p>
      <w:pPr>
        <w:spacing w:after="120" w:before="80" w:line="276"/>
        <w:jc w:val="both"/>
      </w:pPr>
      <w:r>
        <w:rPr>
          <w:rFonts w:ascii="Arial" w:cs="Arial" w:eastAsia="Arial" w:hAnsi="Arial"/>
          <w:color w:val="000000"/>
          <w:sz w:val="22"/>
          <w:szCs w:val="22"/>
        </w:rPr>
        <w:t xml:space="preserve">Multiple economists and think tanks point to negative gearing and the capital gains tax discount as more fundamental drivers of housing unaffordability. This paper does not dispute that analysis. However, reforming negative gearing faces substantial political resistance. A remittance levy is an additive measure that addresses the demand-side funding gap without requiring politically contentious structural tax reform.</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4.4 "This Is Discriminatory"</w:t>
      </w:r>
    </w:p>
    <w:p>
      <w:pPr>
        <w:spacing w:after="120" w:before="80" w:line="276"/>
        <w:jc w:val="both"/>
      </w:pPr>
      <w:r>
        <w:rPr>
          <w:rFonts w:ascii="Arial" w:cs="Arial" w:eastAsia="Arial" w:hAnsi="Arial"/>
          <w:color w:val="000000"/>
          <w:sz w:val="22"/>
          <w:szCs w:val="22"/>
        </w:rPr>
        <w:t xml:space="preserve">The proposed levy explicitly applies to all senders of all nationalities equally. A British accountant sending money home faces the same levy as any other sender. The policy instrument is designed to respond to the economic aggregate, not to any characteristic of the sender. It is legally analogous to existing duties on capital outflows in other jurisdictions.</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5. Recommendations</w:t>
      </w:r>
    </w:p>
    <w:p>
      <w:pPr>
        <w:spacing w:after="120" w:before="80" w:line="276"/>
        <w:jc w:val="left"/>
      </w:pPr>
      <w:r>
        <w:rPr>
          <w:rFonts w:ascii="Arial" w:cs="Arial" w:eastAsia="Arial" w:hAnsi="Arial"/>
          <w:b/>
          <w:bCs/>
          <w:color w:val="000000"/>
          <w:sz w:val="22"/>
          <w:szCs w:val="22"/>
        </w:rPr>
        <w:t xml:space="preserve">This paper makes the following recommendations to the Australian Government:</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Commission comprehensive data collection on aggregate remittance outflows, disaggregated by transfer size, frequency, and destination country, through expanded AUSTRAC reporting requirements.</w:t>
      </w:r>
    </w:p>
    <w:p>
      <w:pPr>
        <w:pStyle w:val="ListParagraph"/>
        <w:numPr>
          <w:ilvl w:val="0"/>
          <w:numId w:val="3"/>
        </w:numPr>
        <w:spacing w:after="60" w:before="60"/>
      </w:pPr>
      <w:r>
        <w:rPr>
          <w:rFonts w:ascii="Arial" w:cs="Arial" w:eastAsia="Arial" w:hAnsi="Arial"/>
          <w:sz w:val="22"/>
          <w:szCs w:val="22"/>
        </w:rPr>
        <w:t xml:space="preserve">Conduct a formal Treasury and Productivity Commission analysis of the macroeconomic impact of remittance outflows on domestic consumption, savings, and housing demand.</w:t>
      </w:r>
    </w:p>
    <w:p>
      <w:pPr>
        <w:pStyle w:val="ListParagraph"/>
        <w:numPr>
          <w:ilvl w:val="0"/>
          <w:numId w:val="3"/>
        </w:numPr>
        <w:spacing w:after="60" w:before="60"/>
      </w:pPr>
      <w:r>
        <w:rPr>
          <w:rFonts w:ascii="Arial" w:cs="Arial" w:eastAsia="Arial" w:hAnsi="Arial"/>
          <w:sz w:val="22"/>
          <w:szCs w:val="22"/>
        </w:rPr>
        <w:t xml:space="preserve">Introduce a Remittance Levy Bill as a private member's bill or government consultation paper, with the levy rate, threshold, and hypothecation model as outlined in Section 3 of this paper.</w:t>
      </w:r>
    </w:p>
    <w:p>
      <w:pPr>
        <w:pStyle w:val="ListParagraph"/>
        <w:numPr>
          <w:ilvl w:val="0"/>
          <w:numId w:val="3"/>
        </w:numPr>
        <w:spacing w:after="60" w:before="60"/>
      </w:pPr>
      <w:r>
        <w:rPr>
          <w:rFonts w:ascii="Arial" w:cs="Arial" w:eastAsia="Arial" w:hAnsi="Arial"/>
          <w:sz w:val="22"/>
          <w:szCs w:val="22"/>
        </w:rPr>
        <w:t xml:space="preserve">Establish a Housing Supply Fund as the dedicated recipient of remittance levy revenue, with independent oversight and annual public reporting on fund deployment.</w:t>
      </w:r>
    </w:p>
    <w:p>
      <w:pPr>
        <w:pStyle w:val="ListParagraph"/>
        <w:numPr>
          <w:ilvl w:val="0"/>
          <w:numId w:val="3"/>
        </w:numPr>
        <w:spacing w:after="60" w:before="60"/>
      </w:pPr>
      <w:r>
        <w:rPr>
          <w:rFonts w:ascii="Arial" w:cs="Arial" w:eastAsia="Arial" w:hAnsi="Arial"/>
          <w:sz w:val="22"/>
          <w:szCs w:val="22"/>
        </w:rPr>
        <w:t xml:space="preserve">Link immigration intake targets to measurable housing supply capacity metrics, such that net overseas migration levels are adjusted annually based on the ratio of dwelling completions to population growth.</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6. Conclusion</w:t>
      </w:r>
    </w:p>
    <w:p>
      <w:pPr>
        <w:spacing w:after="120" w:before="80" w:line="276"/>
        <w:jc w:val="both"/>
      </w:pPr>
      <w:r>
        <w:rPr>
          <w:rFonts w:ascii="Arial" w:cs="Arial" w:eastAsia="Arial" w:hAnsi="Arial"/>
          <w:color w:val="000000"/>
          <w:sz w:val="22"/>
          <w:szCs w:val="22"/>
        </w:rPr>
        <w:t xml:space="preserve">Australia's housing crisis is real, urgent, and multi-causal. Immigration-driven demand is one factor among many — but it is a factor that policy has largely failed to address at the supply funding level. The proposal advanced in this paper is not anti-immigration. It is pro-housing.</w:t>
      </w:r>
    </w:p>
    <w:p>
      <w:pPr>
        <w:spacing w:after="0" w:before="80"/>
      </w:pPr>
      <w:r>
        <w:t xml:space="preserve"/>
      </w:r>
    </w:p>
    <w:p>
      <w:pPr>
        <w:spacing w:after="120" w:before="80" w:line="276"/>
        <w:jc w:val="both"/>
      </w:pPr>
      <w:r>
        <w:rPr>
          <w:rFonts w:ascii="Arial" w:cs="Arial" w:eastAsia="Arial" w:hAnsi="Arial"/>
          <w:color w:val="000000"/>
          <w:sz w:val="22"/>
          <w:szCs w:val="22"/>
        </w:rPr>
        <w:t xml:space="preserve">A Remittance Levy is a nationality-neutral, administratively feasible, internationally precedented policy instrument that would:</w:t>
      </w:r>
    </w:p>
    <w:p>
      <w:pPr>
        <w:pStyle w:val="ListParagraph"/>
        <w:numPr>
          <w:ilvl w:val="0"/>
          <w:numId w:val="2"/>
        </w:numPr>
        <w:spacing w:after="40" w:before="40"/>
      </w:pPr>
      <w:r>
        <w:rPr>
          <w:rFonts w:ascii="Arial" w:cs="Arial" w:eastAsia="Arial" w:hAnsi="Arial"/>
          <w:sz w:val="22"/>
          <w:szCs w:val="22"/>
        </w:rPr>
        <w:t xml:space="preserve">Generate dedicated revenue for housing supply infrastructure.</w:t>
      </w:r>
    </w:p>
    <w:p>
      <w:pPr>
        <w:pStyle w:val="ListParagraph"/>
        <w:numPr>
          <w:ilvl w:val="0"/>
          <w:numId w:val="2"/>
        </w:numPr>
        <w:spacing w:after="40" w:before="40"/>
      </w:pPr>
      <w:r>
        <w:rPr>
          <w:rFonts w:ascii="Arial" w:cs="Arial" w:eastAsia="Arial" w:hAnsi="Arial"/>
          <w:sz w:val="22"/>
          <w:szCs w:val="22"/>
        </w:rPr>
        <w:t xml:space="preserve">Partially recapture the aggregate economic leakage from remittance outflows.</w:t>
      </w:r>
    </w:p>
    <w:p>
      <w:pPr>
        <w:pStyle w:val="ListParagraph"/>
        <w:numPr>
          <w:ilvl w:val="0"/>
          <w:numId w:val="2"/>
        </w:numPr>
        <w:spacing w:after="40" w:before="40"/>
      </w:pPr>
      <w:r>
        <w:rPr>
          <w:rFonts w:ascii="Arial" w:cs="Arial" w:eastAsia="Arial" w:hAnsi="Arial"/>
          <w:sz w:val="22"/>
          <w:szCs w:val="22"/>
        </w:rPr>
        <w:t xml:space="preserve">Operate within existing financial reporting frameworks through AUSTRAC.</w:t>
      </w:r>
    </w:p>
    <w:p>
      <w:pPr>
        <w:pStyle w:val="ListParagraph"/>
        <w:numPr>
          <w:ilvl w:val="0"/>
          <w:numId w:val="2"/>
        </w:numPr>
        <w:spacing w:after="40" w:before="40"/>
      </w:pPr>
      <w:r>
        <w:rPr>
          <w:rFonts w:ascii="Arial" w:cs="Arial" w:eastAsia="Arial" w:hAnsi="Arial"/>
          <w:sz w:val="22"/>
          <w:szCs w:val="22"/>
        </w:rPr>
        <w:t xml:space="preserve">Apply equally to all residents regardless of background or origin.</w:t>
      </w:r>
    </w:p>
    <w:p>
      <w:pPr>
        <w:spacing w:after="0" w:before="80"/>
      </w:pPr>
      <w:r>
        <w:t xml:space="preserve"/>
      </w:r>
    </w:p>
    <w:p>
      <w:pPr>
        <w:spacing w:after="120" w:before="80" w:line="276"/>
        <w:jc w:val="both"/>
      </w:pPr>
      <w:r>
        <w:rPr>
          <w:rFonts w:ascii="Arial" w:cs="Arial" w:eastAsia="Arial" w:hAnsi="Arial"/>
          <w:color w:val="000000"/>
          <w:sz w:val="22"/>
          <w:szCs w:val="22"/>
        </w:rPr>
        <w:t xml:space="preserve">The absence of this policy conversation from mainstream Australian political debate is itself a policy failure. The data exists. The precedents exist. The need is undeniable. What is required is the political will to connect the dots.</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Sources and References</w:t>
      </w:r>
    </w:p>
    <w:p>
      <w:pPr>
        <w:spacing w:after="120" w:before="80" w:line="276"/>
        <w:jc w:val="left"/>
      </w:pPr>
      <w:r>
        <w:rPr>
          <w:rFonts w:ascii="Arial" w:cs="Arial" w:eastAsia="Arial" w:hAnsi="Arial"/>
          <w:color w:val="595959"/>
          <w:sz w:val="18"/>
          <w:szCs w:val="18"/>
        </w:rPr>
        <w:t xml:space="preserve">Moallemi, M. &amp; Melser, D. (2020). The impact of immigration on housing prices in Australia. ScienceDirect / Journal of Regional Science.</w:t>
      </w:r>
    </w:p>
    <w:p>
      <w:pPr>
        <w:spacing w:after="120" w:before="80" w:line="276"/>
        <w:jc w:val="left"/>
      </w:pPr>
      <w:r>
        <w:rPr>
          <w:rFonts w:ascii="Arial" w:cs="Arial" w:eastAsia="Arial" w:hAnsi="Arial"/>
          <w:color w:val="595959"/>
          <w:sz w:val="18"/>
          <w:szCs w:val="18"/>
        </w:rPr>
        <w:t xml:space="preserve">Kusher, C. (2024). 'You shouldn't separate housing policy from migration policy.' Australian Property Update.</w:t>
      </w:r>
    </w:p>
    <w:p>
      <w:pPr>
        <w:spacing w:after="120" w:before="80" w:line="276"/>
        <w:jc w:val="left"/>
      </w:pPr>
      <w:r>
        <w:rPr>
          <w:rFonts w:ascii="Arial" w:cs="Arial" w:eastAsia="Arial" w:hAnsi="Arial"/>
          <w:color w:val="595959"/>
          <w:sz w:val="18"/>
          <w:szCs w:val="18"/>
        </w:rPr>
        <w:t xml:space="preserve">Australian Housing and Urban Research Institute (AHURI) Final Report No. 421: House price dynamics and internal migration across Australia (2024).</w:t>
      </w:r>
    </w:p>
    <w:p>
      <w:pPr>
        <w:spacing w:after="120" w:before="80" w:line="276"/>
        <w:jc w:val="left"/>
      </w:pPr>
      <w:r>
        <w:rPr>
          <w:rFonts w:ascii="Arial" w:cs="Arial" w:eastAsia="Arial" w:hAnsi="Arial"/>
          <w:color w:val="595959"/>
          <w:sz w:val="18"/>
          <w:szCs w:val="18"/>
        </w:rPr>
        <w:t xml:space="preserve">Australian Government. G20 National Remittances Plan: 2024 Biennial Update (2023). Department of Foreign Affairs and Trade.</w:t>
      </w:r>
    </w:p>
    <w:p>
      <w:pPr>
        <w:spacing w:after="120" w:before="80" w:line="276"/>
        <w:jc w:val="left"/>
      </w:pPr>
      <w:r>
        <w:rPr>
          <w:rFonts w:ascii="Arial" w:cs="Arial" w:eastAsia="Arial" w:hAnsi="Arial"/>
          <w:color w:val="595959"/>
          <w:sz w:val="18"/>
          <w:szCs w:val="18"/>
        </w:rPr>
        <w:t xml:space="preserve">MoneyTransfer.com.au (2025). Australia's Remittance Flows: Surprising Winners and Losers. Data sourced from World Bank and ABS.</w:t>
      </w:r>
    </w:p>
    <w:p>
      <w:pPr>
        <w:spacing w:after="120" w:before="80" w:line="276"/>
        <w:jc w:val="left"/>
      </w:pPr>
      <w:r>
        <w:rPr>
          <w:rFonts w:ascii="Arial" w:cs="Arial" w:eastAsia="Arial" w:hAnsi="Arial"/>
          <w:color w:val="595959"/>
          <w:sz w:val="18"/>
          <w:szCs w:val="18"/>
        </w:rPr>
        <w:t xml:space="preserve">Australian Bureau of Statistics (ABS). Australia's Population by Country of Birth. June 2023.</w:t>
      </w:r>
    </w:p>
    <w:p>
      <w:pPr>
        <w:spacing w:after="120" w:before="80" w:line="276"/>
        <w:jc w:val="left"/>
      </w:pPr>
      <w:r>
        <w:rPr>
          <w:rFonts w:ascii="Arial" w:cs="Arial" w:eastAsia="Arial" w:hAnsi="Arial"/>
          <w:color w:val="595959"/>
          <w:sz w:val="18"/>
          <w:szCs w:val="18"/>
        </w:rPr>
        <w:t xml:space="preserve">Forecast Global (2023). The Impact of Immigration on Australian House Prices.</w:t>
      </w:r>
    </w:p>
    <w:p>
      <w:pPr>
        <w:spacing w:after="120" w:before="80" w:line="276"/>
        <w:jc w:val="left"/>
      </w:pPr>
      <w:r>
        <w:rPr>
          <w:rFonts w:ascii="Arial" w:cs="Arial" w:eastAsia="Arial" w:hAnsi="Arial"/>
          <w:color w:val="595959"/>
          <w:sz w:val="18"/>
          <w:szCs w:val="18"/>
        </w:rPr>
        <w:t xml:space="preserve">The Conversation / Grattan Institute. How migration affects housing affordability (2024).</w:t>
      </w:r>
    </w:p>
    <w:p>
      <w:pPr>
        <w:spacing w:after="120" w:before="80" w:line="276"/>
        <w:jc w:val="left"/>
      </w:pPr>
      <w:r>
        <w:rPr>
          <w:rFonts w:ascii="Arial" w:cs="Arial" w:eastAsia="Arial" w:hAnsi="Arial"/>
          <w:color w:val="595959"/>
          <w:sz w:val="18"/>
          <w:szCs w:val="18"/>
        </w:rPr>
        <w:t xml:space="preserve">Statista Market Forecast. Remittances — Australia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6"/>
        <w:szCs w:val="16"/>
      </w:rPr>
      <w:t xml:space="preserve">Remittance Outflows and Housing Affordability: A Policy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POLICY DISCUSSION PAPER  |  AUSTRALIA</w:t>
    </w:r>
    <w:r>
      <w:rPr>
        <w:rFonts w:ascii="Arial" w:cs="Arial" w:eastAsia="Arial" w:hAnsi="Arial"/>
        <w:color w:val="595959"/>
        <w:sz w:val="16"/>
        <w:szCs w:val="16"/>
      </w:rPr>
      <w:t xml:space="preserv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2026-03-31T10:09:46.065Z</dcterms:created>
  <dcterms:modified xsi:type="dcterms:W3CDTF">2026-03-31T10:09:46.067Z</dcterms:modified>
</cp:coreProperties>
</file>

<file path=docProps/custom.xml><?xml version="1.0" encoding="utf-8"?>
<Properties xmlns="http://schemas.openxmlformats.org/officeDocument/2006/custom-properties" xmlns:vt="http://schemas.openxmlformats.org/officeDocument/2006/docPropsVTypes"/>
</file>