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Semantic Compression in Large Language Models:</w:t>
        <w:br/>
        <w:t>Testing Intent Preservation Through Shorthand Prompting</w:t>
      </w:r>
    </w:p>
    <w:p>
      <w:pPr>
        <w:jc w:val="center"/>
      </w:pPr>
      <w:r>
        <w:rPr>
          <w:i/>
          <w:sz w:val="20"/>
        </w:rPr>
        <w:t>Author: Anonymous Research Group | Date: May 17, 2026 | Status: Experimental Findings</w:t>
      </w:r>
    </w:p>
    <w:p/>
    <w:p>
      <w:pPr>
        <w:pStyle w:val="Heading1"/>
      </w:pPr>
      <w:r>
        <w:t>Abstract</w:t>
      </w:r>
    </w:p>
    <w:p>
      <w:r>
        <w:t>This paper investigates whether significantly condensed (shorthand) prompts can preserve semantic intent and architectural coherence when passed between multiple language models, effectively achieving ~70-80% token reduction without meaningful fidelity loss. Through three controlled experiments spanning code generation, system architecture reconstruction, and narrative expansion, we demonstrate that core intent transfers reliably across different model architectures (GPT-4 Mini, Gemini, Claude Sonnet, GLM-5-Turbo) while output quality varies predictably by model capability. Processing time analysis reveals a trade-off between output fidelity and latency, with higher-capability models requiring significantly longer deliberation (4 minutes vs. 30 seconds) to produce superior prose quality.</w:t>
      </w:r>
    </w:p>
    <w:p>
      <w:pPr>
        <w:pStyle w:val="Heading1"/>
      </w:pPr>
      <w:r>
        <w:t>1. Introduction</w:t>
      </w:r>
    </w:p>
    <w:p>
      <w:pPr>
        <w:pStyle w:val="Heading2"/>
      </w:pPr>
      <w:r>
        <w:t>1.1 Problem Statement</w:t>
      </w:r>
    </w:p>
    <w:p>
      <w:r>
        <w:t>Current best practices in prompt engineering emphasize clarity, specificity, and verbosity—longer prompts are assumed to yield better results. However, this approach carries hidden costs:</w:t>
      </w:r>
    </w:p>
    <w:p>
      <w:pPr>
        <w:pStyle w:val="ListBullet"/>
      </w:pPr>
      <w:r>
        <w:t>Token consumption scales linearly with prompt length</w:t>
      </w:r>
    </w:p>
    <w:p>
      <w:pPr>
        <w:pStyle w:val="ListBullet"/>
      </w:pPr>
      <w:r>
        <w:t>API costs increase proportionally to input tokens</w:t>
      </w:r>
    </w:p>
    <w:p>
      <w:pPr>
        <w:pStyle w:val="ListBullet"/>
      </w:pPr>
      <w:r>
        <w:t>Latency compounds across multi-turn interactions</w:t>
      </w:r>
    </w:p>
    <w:p>
      <w:pPr>
        <w:pStyle w:val="ListBullet"/>
      </w:pPr>
      <w:r>
        <w:t>Context windows become bottlenecks in complex workflows</w:t>
      </w:r>
    </w:p>
    <w:p>
      <w:r>
        <w:t>We hypothesize that semantic intent can be compressed into minimal, structured shorthand without losing essential information, provided:</w:t>
      </w:r>
    </w:p>
    <w:p>
      <w:pPr>
        <w:pStyle w:val="ListNumber"/>
      </w:pPr>
      <w:r>
        <w:t>The core architectural concept is preserved</w:t>
      </w:r>
    </w:p>
    <w:p>
      <w:pPr>
        <w:pStyle w:val="ListNumber"/>
      </w:pPr>
      <w:r>
        <w:t>The target model has sufficient capability to decompress the intent</w:t>
      </w:r>
    </w:p>
    <w:p>
      <w:pPr>
        <w:pStyle w:val="ListNumber"/>
      </w:pPr>
      <w:r>
        <w:t>Output quality is measured against intent-matching, not pixel-perfect reproduction</w:t>
      </w:r>
    </w:p>
    <w:p>
      <w:pPr>
        <w:pStyle w:val="Heading2"/>
      </w:pPr>
      <w:r>
        <w:t>1.2 Research Questions</w:t>
      </w:r>
    </w:p>
    <w:p>
      <w:pPr>
        <w:pStyle w:val="ListNumber"/>
      </w:pPr>
      <w:r>
        <w:t>Can ~70% token reduction maintain semantic coherence?</w:t>
      </w:r>
    </w:p>
    <w:p>
      <w:pPr>
        <w:pStyle w:val="ListNumber"/>
      </w:pPr>
      <w:r>
        <w:t>How does model capability affect shorthand comprehension?</w:t>
      </w:r>
    </w:p>
    <w:p>
      <w:pPr>
        <w:pStyle w:val="ListNumber"/>
      </w:pPr>
      <w:r>
        <w:t>What is the quality-latency trade-off across model tiers?</w:t>
      </w:r>
    </w:p>
    <w:p>
      <w:pPr>
        <w:pStyle w:val="ListNumber"/>
      </w:pPr>
      <w:r>
        <w:t>Can shorthand work bidirectionally (code ↔ prose)?</w:t>
      </w:r>
    </w:p>
    <w:p>
      <w:pPr>
        <w:pStyle w:val="Heading1"/>
      </w:pPr>
      <w:r>
        <w:t>2. Methodology</w:t>
      </w:r>
    </w:p>
    <w:p>
      <w:pPr>
        <w:pStyle w:val="Heading2"/>
      </w:pPr>
      <w:r>
        <w:t>2.1 Experimental Design</w:t>
      </w:r>
    </w:p>
    <w:p>
      <w:r>
        <w:t>Three sequential experiments tested shorthand prompting at increasing complexity:</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t>Experiment</w:t>
            </w:r>
          </w:p>
        </w:tc>
        <w:tc>
          <w:tcPr>
            <w:tcW w:type="dxa" w:w="1728"/>
          </w:tcPr>
          <w:p>
            <w:r>
              <w:t>Domain</w:t>
            </w:r>
          </w:p>
        </w:tc>
        <w:tc>
          <w:tcPr>
            <w:tcW w:type="dxa" w:w="1728"/>
          </w:tcPr>
          <w:p>
            <w:r>
              <w:t>Input</w:t>
            </w:r>
          </w:p>
        </w:tc>
        <w:tc>
          <w:tcPr>
            <w:tcW w:type="dxa" w:w="1728"/>
          </w:tcPr>
          <w:p>
            <w:r>
              <w:t>Output</w:t>
            </w:r>
          </w:p>
        </w:tc>
        <w:tc>
          <w:tcPr>
            <w:tcW w:type="dxa" w:w="1728"/>
          </w:tcPr>
          <w:p>
            <w:r>
              <w:t>Token Reduction</w:t>
            </w:r>
          </w:p>
        </w:tc>
      </w:tr>
      <w:tr>
        <w:tc>
          <w:tcPr>
            <w:tcW w:type="dxa" w:w="1728"/>
          </w:tcPr>
          <w:p>
            <w:r>
              <w:t>1</w:t>
            </w:r>
          </w:p>
        </w:tc>
        <w:tc>
          <w:tcPr>
            <w:tcW w:type="dxa" w:w="1728"/>
          </w:tcPr>
          <w:p>
            <w:r>
              <w:t>Code Generation</w:t>
            </w:r>
          </w:p>
        </w:tc>
        <w:tc>
          <w:tcPr>
            <w:tcW w:type="dxa" w:w="1728"/>
          </w:tcPr>
          <w:p>
            <w:r>
              <w:t>Verbose prompt</w:t>
            </w:r>
          </w:p>
        </w:tc>
        <w:tc>
          <w:tcPr>
            <w:tcW w:type="dxa" w:w="1728"/>
          </w:tcPr>
          <w:p>
            <w:r>
              <w:t>JavaScript function</w:t>
            </w:r>
          </w:p>
        </w:tc>
        <w:tc>
          <w:tcPr>
            <w:tcW w:type="dxa" w:w="1728"/>
          </w:tcPr>
          <w:p>
            <w:r>
              <w:t>67%</w:t>
            </w:r>
          </w:p>
        </w:tc>
      </w:tr>
      <w:tr>
        <w:tc>
          <w:tcPr>
            <w:tcW w:type="dxa" w:w="1728"/>
          </w:tcPr>
          <w:p>
            <w:r>
              <w:t>2</w:t>
            </w:r>
          </w:p>
        </w:tc>
        <w:tc>
          <w:tcPr>
            <w:tcW w:type="dxa" w:w="1728"/>
          </w:tcPr>
          <w:p>
            <w:r>
              <w:t>System Architecture</w:t>
            </w:r>
          </w:p>
        </w:tc>
        <w:tc>
          <w:tcPr>
            <w:tcW w:type="dxa" w:w="1728"/>
          </w:tcPr>
          <w:p>
            <w:r>
              <w:t>2000-word spec</w:t>
            </w:r>
          </w:p>
        </w:tc>
        <w:tc>
          <w:tcPr>
            <w:tcW w:type="dxa" w:w="1728"/>
          </w:tcPr>
          <w:p>
            <w:r>
              <w:t>React app rebuild</w:t>
            </w:r>
          </w:p>
        </w:tc>
        <w:tc>
          <w:tcPr>
            <w:tcW w:type="dxa" w:w="1728"/>
          </w:tcPr>
          <w:p>
            <w:r>
              <w:t>85%</w:t>
            </w:r>
          </w:p>
        </w:tc>
      </w:tr>
      <w:tr>
        <w:tc>
          <w:tcPr>
            <w:tcW w:type="dxa" w:w="1728"/>
          </w:tcPr>
          <w:p>
            <w:r>
              <w:t>3</w:t>
            </w:r>
          </w:p>
        </w:tc>
        <w:tc>
          <w:tcPr>
            <w:tcW w:type="dxa" w:w="1728"/>
          </w:tcPr>
          <w:p>
            <w:r>
              <w:t>Narrative Expansion</w:t>
            </w:r>
          </w:p>
        </w:tc>
        <w:tc>
          <w:tcPr>
            <w:tcW w:type="dxa" w:w="1728"/>
          </w:tcPr>
          <w:p>
            <w:r>
              <w:t>Code structure</w:t>
            </w:r>
          </w:p>
        </w:tc>
        <w:tc>
          <w:tcPr>
            <w:tcW w:type="dxa" w:w="1728"/>
          </w:tcPr>
          <w:p>
            <w:r>
              <w:t>1500-word prose</w:t>
            </w:r>
          </w:p>
        </w:tc>
        <w:tc>
          <w:tcPr>
            <w:tcW w:type="dxa" w:w="1728"/>
          </w:tcPr>
          <w:p>
            <w:r>
              <w:t>72%</w:t>
            </w:r>
          </w:p>
        </w:tc>
      </w:tr>
    </w:tbl>
    <w:p>
      <w:pPr>
        <w:pStyle w:val="Heading2"/>
      </w:pPr>
      <w:r>
        <w:t>2.2 Experiment 1: Logarithmic Random Number Generation</w:t>
      </w:r>
    </w:p>
    <w:p>
      <w:pPr>
        <w:pStyle w:val="ListBullet"/>
      </w:pPr>
      <w:r>
        <w:t>Full Prompt (113 tokens): "Can you please provide a detailed explanation..."</w:t>
      </w:r>
    </w:p>
    <w:p>
      <w:pPr>
        <w:pStyle w:val="ListBullet"/>
      </w:pPr>
      <w:r>
        <w:t>Shorthand Prompt (37 tokens): "Log-scale random 1-100 base-10"</w:t>
      </w:r>
    </w:p>
    <w:p>
      <w:r>
        <w:t>Finding: Shorthand compressed to 33% of original length. Simple models lost nuance; capable models preserved intent.</w:t>
      </w:r>
    </w:p>
    <w:p>
      <w:pPr>
        <w:pStyle w:val="Heading1"/>
      </w:pPr>
      <w:r>
        <w:t>3. Core Findings</w:t>
      </w:r>
    </w:p>
    <w:p>
      <w:pPr>
        <w:pStyle w:val="Heading2"/>
      </w:pPr>
      <w:r>
        <w:t>3.1 Intent Preservation Confirmed</w:t>
      </w:r>
    </w:p>
    <w:p>
      <w:r>
        <w:t>Shorthand prompts successfully preserve semantic intent at 70-85% token reduction, provided:</w:t>
        <w:br/>
        <w:t>• The target model has sufficient capability (GPT-4 Mini+)</w:t>
        <w:br/>
        <w:t xml:space="preserve">• The shorthand encodes architectural relationships, not just keywords  </w:t>
        <w:br/>
        <w:t>• Expected output is semantically equivalent, not bit-identical</w:t>
      </w:r>
    </w:p>
    <w:p>
      <w:pPr>
        <w:pStyle w:val="Heading2"/>
      </w:pPr>
      <w:r>
        <w:t>3.2 Processing Latency Analysis</w:t>
      </w:r>
    </w:p>
    <w:p>
      <w:pPr>
        <w:pStyle w:val="ListBullet"/>
      </w:pPr>
      <w:r>
        <w:t>GPT-4 Mini: 8 seconds (stream-first, minimal reasoning)</w:t>
      </w:r>
    </w:p>
    <w:p>
      <w:pPr>
        <w:pStyle w:val="ListBullet"/>
      </w:pPr>
      <w:r>
        <w:t>Claude Sonnet: 15 seconds (balanced)</w:t>
      </w:r>
    </w:p>
    <w:p>
      <w:pPr>
        <w:pStyle w:val="ListBullet"/>
      </w:pPr>
      <w:r>
        <w:t>Gemini 2.5: 22 seconds (checking against spec)</w:t>
      </w:r>
    </w:p>
    <w:p>
      <w:pPr>
        <w:pStyle w:val="ListBullet"/>
      </w:pPr>
      <w:r>
        <w:t>GLM-5-Turbo: 240 seconds (4 min — consulting docs, elaborate output)</w:t>
      </w:r>
    </w:p>
    <w:p>
      <w:pPr>
        <w:pStyle w:val="Heading2"/>
      </w:pPr>
      <w:r>
        <w:t>3.3 Token Cost Savings</w:t>
      </w:r>
    </w:p>
    <w:p>
      <w:r>
        <w:t>Experiment 3 Cost Analysis (Traditional vs. Shorthand):</w:t>
        <w:br/>
        <w:t>• Traditional Verbose: $0.013 per execution</w:t>
        <w:br/>
        <w:t>• Shorthand (GPT-4 Mini): $0.003 per execution</w:t>
        <w:br/>
        <w:t>• Savings: 77%</w:t>
      </w:r>
    </w:p>
    <w:p>
      <w:pPr>
        <w:pStyle w:val="Heading1"/>
      </w:pPr>
      <w:r>
        <w:t>4. Conclusion</w:t>
      </w:r>
    </w:p>
    <w:p>
      <w:r>
        <w:t>Semantic compression through shorthand prompting is a viable, economically sound strategy for token optimization in multi-model workflows, achieving 70-85% input token reduction while maintaining architectural and conceptual integrity.</w:t>
        <w:br/>
        <w:br/>
        <w:t>Key trade-offs:</w:t>
        <w:br/>
        <w:t>• Speed/cost sacrifice some quality (GPT-4 Mini: 8 sec, good output)</w:t>
        <w:br/>
        <w:t>• Quality requires deliberation (GLM-5-Turbo: 240 sec, excellent output)</w:t>
        <w:br/>
        <w:t>• Simple models cannot decompress intent (roleplay bot: failed)</w:t>
        <w:br/>
        <w:br/>
        <w:t>Practical ROI: For organizations running 1000+ AI calls/month, shorthand prompting could reduce API costs by 30-50% while maintaining acceptable quality, if models are chosen appropriately for the task tier.</w:t>
        <w:br/>
        <w:br/>
        <w:t>The key insight: Don't confuse prompt length with prompt quality. Clarity beats verbosity; architecture beats description.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