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38"/>
          <w:szCs w:val="38"/>
        </w:rPr>
        <w:t xml:space="preserve">Supervised Subcutaneous Delivery of a Non-Hallucinogenic DMT Analog for ADHD Management</w:t>
      </w:r>
    </w:p>
    <w:p>
      <w:pPr>
        <w:spacing w:before="80" w:after="80"/>
        <w:jc w:val="center"/>
      </w:pPr>
      <w:r>
        <w:rPr>
          <w:rFonts w:ascii="Arial" w:cs="Arial" w:eastAsia="Arial" w:hAnsi="Arial"/>
          <w:i/>
          <w:iCs/>
          <w:color w:val="444444"/>
          <w:sz w:val="26"/>
          <w:szCs w:val="26"/>
        </w:rPr>
        <w:t xml:space="preserve">A Human-Titration Device System with Caregiver-Controlled Dosing and Firmware Safety Limits</w:t>
      </w:r>
    </w:p>
    <w:p>
      <w:pPr>
        <w:spacing w:before="200" w:after="80"/>
        <w:jc w:val="center"/>
      </w:pPr>
      <w:r>
        <w:rPr>
          <w:rFonts w:ascii="Arial" w:cs="Arial" w:eastAsia="Arial" w:hAnsi="Arial"/>
          <w:b/>
          <w:bCs/>
          <w:color w:val="333333"/>
          <w:sz w:val="24"/>
          <w:szCs w:val="24"/>
        </w:rPr>
        <w:t xml:space="preserve">Author: Craig Huckerby</w:t>
      </w:r>
    </w:p>
    <w:p>
      <w:pPr>
        <w:spacing w:before="40" w:after="40"/>
        <w:jc w:val="center"/>
      </w:pPr>
      <w:r>
        <w:rPr>
          <w:rFonts w:ascii="Arial" w:cs="Arial" w:eastAsia="Arial" w:hAnsi="Arial"/>
          <w:color w:val="666666"/>
          <w:sz w:val="22"/>
          <w:szCs w:val="22"/>
        </w:rPr>
        <w:t xml:space="preserve">Date: March 2026</w:t>
      </w:r>
    </w:p>
    <w:p>
      <w:pPr>
        <w:spacing w:before="40" w:after="480"/>
        <w:jc w:val="center"/>
      </w:pPr>
      <w:r>
        <w:rPr>
          <w:rFonts w:ascii="Arial" w:cs="Arial" w:eastAsia="Arial" w:hAnsi="Arial"/>
          <w:i/>
          <w:iCs/>
          <w:color w:val="888888"/>
          <w:sz w:val="20"/>
          <w:szCs w:val="20"/>
        </w:rPr>
        <w:t xml:space="preserve">Preliminary Research Proposal — Not for Distribution</w:t>
      </w:r>
    </w:p>
    <w:p>
      <w:pPr>
        <w:pBdr>
          <w:bottom w:val="single" w:color="1F3864" w:sz="8" w:space="1"/>
        </w:pBdr>
      </w:pPr>
    </w:p>
    <w:p>
      <w:pPr>
        <w:pStyle w:val="Heading1"/>
      </w:pPr>
      <w:r>
        <w:t xml:space="preserve">Abstract</w:t>
      </w:r>
    </w:p>
    <w:p>
      <w:pPr>
        <w:spacing w:after="200"/>
        <w:jc w:val="both"/>
      </w:pPr>
      <w:r>
        <w:rPr>
          <w:rFonts w:ascii="Arial" w:cs="Arial" w:eastAsia="Arial" w:hAnsi="Arial"/>
          <w:sz w:val="22"/>
          <w:szCs w:val="22"/>
        </w:rPr>
        <w:t xml:space="preserve">ADHD affects approximately 5–7% of children and 2–5% of adults worldwide. Current stimulant-based pharmacotherapies are limited by fixed-dose oral delivery, abuse potential, cardiovascular side effects, and inadequate response in a substantial proportion of patients. This proposal describes a two-component system: (1) a non-hallucinogenic analog of N,N-Dimethyltryptamine (DMT), engineered to retain TAAR1 and sigma-1 receptor activity whilst eliminating 5-HT2A-mediated perceptual distortion; and (2) a caregiver-supervised subcutaneous infusion device with password-protected dose adjustment, firmware-enforced safety ceilings, and a structured behavioural monitoring interface.</w:t>
      </w:r>
    </w:p>
    <w:p>
      <w:pPr>
        <w:spacing w:after="200"/>
        <w:jc w:val="both"/>
      </w:pPr>
      <w:r>
        <w:rPr>
          <w:rFonts w:ascii="Arial" w:cs="Arial" w:eastAsia="Arial" w:hAnsi="Arial"/>
          <w:sz w:val="22"/>
          <w:szCs w:val="22"/>
        </w:rPr>
        <w:t xml:space="preserve">Rather than autonomous neurochemical sensing, the system places a human caregiver — parent, clinician, or authorised school personnel — in the control loop. Dosing adjustments are made by verified users based on direct behavioural observation, within hard limits prescribed by the overseeing physician and enforced in device firmware. This approach prioritises safety, transparency, and clinical oversight over automation, producing a system that is practically deployable within existing healthcare frameworks.</w:t>
      </w:r>
    </w:p>
    <w:p>
      <w:pPr>
        <w:pStyle w:val="Heading1"/>
      </w:pPr>
      <w:r>
        <w:t xml:space="preserve">1. Background and Scientific Rationale</w:t>
      </w:r>
    </w:p>
    <w:p>
      <w:pPr>
        <w:pStyle w:val="Heading2"/>
      </w:pPr>
      <w:r>
        <w:t xml:space="preserve">1.1 Limitations of Current ADHD Pharmacotherapy</w:t>
      </w:r>
    </w:p>
    <w:p>
      <w:pPr>
        <w:spacing w:after="180"/>
        <w:jc w:val="both"/>
      </w:pPr>
      <w:r>
        <w:rPr>
          <w:rFonts w:ascii="Arial" w:cs="Arial" w:eastAsia="Arial" w:hAnsi="Arial"/>
          <w:sz w:val="22"/>
          <w:szCs w:val="22"/>
        </w:rPr>
        <w:t xml:space="preserve">ADHD is rooted in catecholaminergic dysregulation within prefrontal circuits. Stimulant medications produce pharmacokinetic peaks and troughs that can cause rebound irritability, sleep disruption, and inconsistent symptom control across the day. Non-stimulant alternatives require weeks of titration. No currently approved therapy offers rapid, adjustable, non-stimulant delivery matched to moment-to-moment functional demand. This is the gap this system is designed to address.</w:t>
      </w:r>
    </w:p>
    <w:p>
      <w:pPr>
        <w:pStyle w:val="Heading2"/>
      </w:pPr>
      <w:r>
        <w:t xml:space="preserve">1.2 DMT: Separable Receptor Mechanisms</w:t>
      </w:r>
    </w:p>
    <w:p>
      <w:pPr>
        <w:spacing w:after="180"/>
        <w:jc w:val="both"/>
      </w:pPr>
      <w:r>
        <w:rPr>
          <w:rFonts w:ascii="Arial" w:cs="Arial" w:eastAsia="Arial" w:hAnsi="Arial"/>
          <w:sz w:val="22"/>
          <w:szCs w:val="22"/>
        </w:rPr>
        <w:t xml:space="preserve">DMT's hallucinogenic effects are mediated through 5-HT2A receptor agonism. Its therapeutically relevant effects — dopamine and norepinephrine modulation via TAAR1 and neuroprotection via sigma-1 receptors — are mechanistically distinct and can be preserved in structural analogs that eliminate 5-HT2A activity. This receptor separability, validated by academic and commercial groups for other indications, forms the pharmacological basis of the proposed agent.</w:t>
      </w:r>
    </w:p>
    <w:p>
      <w:pPr>
        <w:pStyle w:val="Heading2"/>
      </w:pPr>
      <w:r>
        <w:t xml:space="preserve">1.3 The Insulin Pump as a Practical Model</w:t>
      </w:r>
    </w:p>
    <w:p>
      <w:pPr>
        <w:spacing w:after="180"/>
        <w:jc w:val="both"/>
      </w:pPr>
      <w:r>
        <w:rPr>
          <w:rFonts w:ascii="Arial" w:cs="Arial" w:eastAsia="Arial" w:hAnsi="Arial"/>
          <w:sz w:val="22"/>
          <w:szCs w:val="22"/>
        </w:rPr>
        <w:t xml:space="preserve">Subcutaneous insulin pump therapy for Type 1 diabetes provides a directly applicable model. Modern insulin pump systems allow caregivers and patients to set basal infusion rates, apply temporary adjustments for anticipated demand (e.g., meals, exercise), and enforce physician-prescribed dosing limits in firmware. This system applies the same architecture to ADHD neurochemistry: a basal infusion of a non-hallucinogenic DMT analog, with caregiver-authorised adjustments around periods of high attentional demand such as school hours, supervised within hard safety boundaries.</w:t>
      </w:r>
    </w:p>
    <w:p>
      <w:pPr>
        <w:pStyle w:val="Heading1"/>
      </w:pPr>
      <w:r>
        <w:t xml:space="preserve">2. System Design</w:t>
      </w:r>
    </w:p>
    <w:p>
      <w:pPr>
        <w:pStyle w:val="Heading2"/>
      </w:pPr>
      <w:r>
        <w:t xml:space="preserve">2.1 Component A — The Pharmacological Agent</w:t>
      </w:r>
    </w:p>
    <w:p>
      <w:pPr>
        <w:spacing w:after="180"/>
        <w:jc w:val="both"/>
      </w:pPr>
      <w:r>
        <w:rPr>
          <w:rFonts w:ascii="Arial" w:cs="Arial" w:eastAsia="Arial" w:hAnsi="Arial"/>
          <w:sz w:val="22"/>
          <w:szCs w:val="22"/>
        </w:rPr>
        <w:t xml:space="preserve">A lead DMT analog will be selected on the basis of: high TAAR1 and sigma-1 receptor affinity with negligible 5-HT2A agonism; rapid onset (&lt;30 minutes to peak plasma concentration); short-to-medium half-life suitable for continuous infusion titration; aqueous stability at physiological pH for device-based liquid delivery; and a safety profile compatible with chronic subcutaneous administration.</w:t>
      </w:r>
    </w:p>
    <w:p>
      <w:pPr>
        <w:pStyle w:val="Heading2"/>
      </w:pPr>
      <w:r>
        <w:t xml:space="preserve">2.2 Component B — The User-Assessed Monitoring Layer</w:t>
      </w:r>
    </w:p>
    <w:p>
      <w:pPr>
        <w:spacing w:after="160"/>
        <w:jc w:val="both"/>
      </w:pPr>
      <w:r>
        <w:rPr>
          <w:rFonts w:ascii="Arial" w:cs="Arial" w:eastAsia="Arial" w:hAnsi="Arial"/>
          <w:sz w:val="22"/>
          <w:szCs w:val="22"/>
        </w:rPr>
        <w:t xml:space="preserve">In place of autonomous electrochemical sensing, this component uses a structured behavioural monitoring interface. The system is human-in-the-loop: biological sensor data supports, but does not replace, caregiver judgement.</w:t>
      </w:r>
    </w:p>
    <w:p>
      <w:pPr>
        <w:pStyle w:val="ListParagraph"/>
        <w:numPr>
          <w:ilvl w:val="0"/>
          <w:numId w:val="2"/>
        </w:numPr>
        <w:spacing w:after="120"/>
      </w:pPr>
      <w:r>
        <w:rPr>
          <w:rFonts w:ascii="Arial" w:cs="Arial" w:eastAsia="Arial" w:hAnsi="Arial"/>
          <w:sz w:val="22"/>
          <w:szCs w:val="22"/>
        </w:rPr>
        <w:t xml:space="preserve">Observational Data Input: Parents, clinicians, or authorised school personnel enter qualitative observations regarding the patient's attentional state, impulsivity, and side-effect profile into a synchronised application.</w:t>
      </w:r>
    </w:p>
    <w:p>
      <w:pPr>
        <w:pStyle w:val="ListParagraph"/>
        <w:numPr>
          <w:ilvl w:val="0"/>
          <w:numId w:val="2"/>
        </w:numPr>
        <w:spacing w:after="120"/>
      </w:pPr>
      <w:r>
        <w:rPr>
          <w:rFonts w:ascii="Arial" w:cs="Arial" w:eastAsia="Arial" w:hAnsi="Arial"/>
          <w:sz w:val="22"/>
          <w:szCs w:val="22"/>
        </w:rPr>
        <w:t xml:space="preserve">Tiered Access and Security: The monitoring interface requires multi-factor authentication and password protection to prevent unauthorised dosage adjustments.</w:t>
      </w:r>
    </w:p>
    <w:p>
      <w:pPr>
        <w:pStyle w:val="ListParagraph"/>
        <w:numPr>
          <w:ilvl w:val="0"/>
          <w:numId w:val="2"/>
        </w:numPr>
        <w:spacing w:after="120"/>
      </w:pPr>
      <w:r>
        <w:rPr>
          <w:rFonts w:ascii="Arial" w:cs="Arial" w:eastAsia="Arial" w:hAnsi="Arial"/>
          <w:sz w:val="22"/>
          <w:szCs w:val="22"/>
        </w:rPr>
        <w:t xml:space="preserve">Subjective-Objective Correlation: The system logs heart rate variability (HRV) and activity levels via standard wearable sensors as auxiliary data to support caregiver adjustment decisions, without relying on these signals to trigger dosing autonomously.</w:t>
      </w:r>
    </w:p>
    <w:p>
      <w:pPr>
        <w:pStyle w:val="Heading2"/>
      </w:pPr>
      <w:r>
        <w:t xml:space="preserve">2.3 Component C — The Secure Adjustment and Control Interface</w:t>
      </w:r>
    </w:p>
    <w:p>
      <w:pPr>
        <w:spacing w:after="160"/>
        <w:jc w:val="both"/>
      </w:pPr>
      <w:r>
        <w:rPr>
          <w:rFonts w:ascii="Arial" w:cs="Arial" w:eastAsia="Arial" w:hAnsi="Arial"/>
          <w:sz w:val="22"/>
          <w:szCs w:val="22"/>
        </w:rPr>
        <w:t xml:space="preserve">The control logic is a prescribed titration framework with strict safety boundaries, not an autonomous algorithm.</w:t>
      </w:r>
    </w:p>
    <w:p>
      <w:pPr>
        <w:pStyle w:val="ListParagraph"/>
        <w:numPr>
          <w:ilvl w:val="0"/>
          <w:numId w:val="2"/>
        </w:numPr>
        <w:spacing w:after="120"/>
      </w:pPr>
      <w:r>
        <w:rPr>
          <w:rFonts w:ascii="Arial" w:cs="Arial" w:eastAsia="Arial" w:hAnsi="Arial"/>
          <w:sz w:val="22"/>
          <w:szCs w:val="22"/>
        </w:rPr>
        <w:t xml:space="preserve">Password-Gated Dose Modification: Real-time adjustments to the infusion rate can only be executed by verified users — such as a parent during morning preparation or a school nurse during peak academic hours — through a secured digital handshake.</w:t>
      </w:r>
    </w:p>
    <w:p>
      <w:pPr>
        <w:pStyle w:val="ListParagraph"/>
        <w:numPr>
          <w:ilvl w:val="0"/>
          <w:numId w:val="2"/>
        </w:numPr>
        <w:spacing w:after="120"/>
      </w:pPr>
      <w:r>
        <w:rPr>
          <w:rFonts w:ascii="Arial" w:cs="Arial" w:eastAsia="Arial" w:hAnsi="Arial"/>
          <w:sz w:val="22"/>
          <w:szCs w:val="22"/>
        </w:rPr>
        <w:t xml:space="preserve">Safety Ceiling Firmware: Hard-coded safety ceilings are enforced in device firmware, preventing any manual input from exceeding the maximum daily or hourly dose prescribed by the overseeing physician, regardless of user instruction.</w:t>
      </w:r>
    </w:p>
    <w:p>
      <w:pPr>
        <w:pStyle w:val="ListParagraph"/>
        <w:numPr>
          <w:ilvl w:val="0"/>
          <w:numId w:val="2"/>
        </w:numPr>
        <w:spacing w:after="120"/>
      </w:pPr>
      <w:r>
        <w:rPr>
          <w:rFonts w:ascii="Arial" w:cs="Arial" w:eastAsia="Arial" w:hAnsi="Arial"/>
          <w:sz w:val="22"/>
          <w:szCs w:val="22"/>
        </w:rPr>
        <w:t xml:space="preserve">Scheduled Basal Rates: The device follows a pre-programmed basal infusion schedule reflecting the patient's typical diurnal needs. Authorised caregivers may nudge the rate up or down within a narrow physician-defined percentage range.</w:t>
      </w:r>
    </w:p>
    <w:p>
      <w:pPr>
        <w:pStyle w:val="ListParagraph"/>
        <w:numPr>
          <w:ilvl w:val="0"/>
          <w:numId w:val="2"/>
        </w:numPr>
        <w:spacing w:after="120"/>
      </w:pPr>
      <w:r>
        <w:rPr>
          <w:rFonts w:ascii="Arial" w:cs="Arial" w:eastAsia="Arial" w:hAnsi="Arial"/>
          <w:sz w:val="22"/>
          <w:szCs w:val="22"/>
        </w:rPr>
        <w:t xml:space="preserve">Manual Override and Logging: Every adjustment is timestamped and logged, creating a full titration history that clinicians can review to optimise the long-term delivery schedule.</w:t>
      </w:r>
    </w:p>
    <w:p>
      <w:pPr>
        <w:pStyle w:val="Heading2"/>
      </w:pPr>
      <w:r>
        <w:t xml:space="preserve">2.4 Component D — The Delivery Device</w:t>
      </w:r>
    </w:p>
    <w:p>
      <w:pPr>
        <w:spacing w:after="180"/>
        <w:jc w:val="both"/>
      </w:pPr>
      <w:r>
        <w:rPr>
          <w:rFonts w:ascii="Arial" w:cs="Arial" w:eastAsia="Arial" w:hAnsi="Arial"/>
          <w:sz w:val="22"/>
          <w:szCs w:val="22"/>
        </w:rPr>
        <w:t xml:space="preserve">A miniaturised subcutaneous infusion pump delivers the liquid-formulated compound via a small cannula replaced every 2–3 days. The device is wearable, discreet, and waterproof. A companion smartphone application provides the caregiver interface, logging dashboard, and secure communication with the device. Formulation work will optimise aqueous stability, pH, and tonicity of the liquid compound for consistent subcutaneous absorption.</w:t>
      </w:r>
    </w:p>
    <w:p>
      <w:pPr>
        <w:pStyle w:val="Heading1"/>
      </w:pPr>
      <w:r>
        <w:t xml:space="preserve">3. Primary Hypothesis</w:t>
      </w:r>
    </w:p>
    <w:p>
      <w:pPr>
        <w:spacing w:after="180"/>
        <w:jc w:val="both"/>
      </w:pPr>
      <w:r>
        <w:rPr>
          <w:rFonts w:ascii="Arial" w:cs="Arial" w:eastAsia="Arial" w:hAnsi="Arial"/>
          <w:i/>
          <w:iCs/>
          <w:sz w:val="22"/>
          <w:szCs w:val="22"/>
        </w:rPr>
        <w:t xml:space="preserve">A caregiver-supervised subcutaneous infusion system delivering a non-hallucinogenic DMT analog within physician-defined safety limits, guided by structured behavioural observation, will produce more consistent and individually calibrated ADHD symptom management than fixed-dose oral pharmacotherapy — with lower abuse potential, reduced peak-and-trough variability, and greater adaptability to daily functional demand.</w:t>
      </w:r>
    </w:p>
    <w:p>
      <w:pPr>
        <w:pStyle w:val="Heading1"/>
      </w:pPr>
      <w:r>
        <w:t xml:space="preserve">4. Research Objectives</w:t>
      </w:r>
    </w:p>
    <w:p>
      <w:pPr>
        <w:pStyle w:val="ListParagraph"/>
        <w:numPr>
          <w:ilvl w:val="0"/>
          <w:numId w:val="2"/>
        </w:numPr>
        <w:spacing w:after="120"/>
      </w:pPr>
      <w:r>
        <w:rPr>
          <w:rFonts w:ascii="Arial" w:cs="Arial" w:eastAsia="Arial" w:hAnsi="Arial"/>
          <w:sz w:val="22"/>
          <w:szCs w:val="22"/>
        </w:rPr>
        <w:t xml:space="preserve">Identify a lead non-hallucinogenic DMT analog with pharmacokinetic properties suitable for continuous subcutaneous infusion.</w:t>
      </w:r>
    </w:p>
    <w:p>
      <w:pPr>
        <w:pStyle w:val="ListParagraph"/>
        <w:numPr>
          <w:ilvl w:val="0"/>
          <w:numId w:val="2"/>
        </w:numPr>
        <w:spacing w:after="120"/>
      </w:pPr>
      <w:r>
        <w:rPr>
          <w:rFonts w:ascii="Arial" w:cs="Arial" w:eastAsia="Arial" w:hAnsi="Arial"/>
          <w:sz w:val="22"/>
          <w:szCs w:val="22"/>
        </w:rPr>
        <w:t xml:space="preserve">Develop a stable aqueous liquid formulation of the lead compound for pump-based delivery.</w:t>
      </w:r>
    </w:p>
    <w:p>
      <w:pPr>
        <w:pStyle w:val="ListParagraph"/>
        <w:numPr>
          <w:ilvl w:val="0"/>
          <w:numId w:val="2"/>
        </w:numPr>
        <w:spacing w:after="120"/>
      </w:pPr>
      <w:r>
        <w:rPr>
          <w:rFonts w:ascii="Arial" w:cs="Arial" w:eastAsia="Arial" w:hAnsi="Arial"/>
          <w:sz w:val="22"/>
          <w:szCs w:val="22"/>
        </w:rPr>
        <w:t xml:space="preserve">Design and validate the secure caregiver interface, including multi-factor authentication, dose logging, and firmware safety ceiling implementation.</w:t>
      </w:r>
    </w:p>
    <w:p>
      <w:pPr>
        <w:pStyle w:val="ListParagraph"/>
        <w:numPr>
          <w:ilvl w:val="0"/>
          <w:numId w:val="2"/>
        </w:numPr>
        <w:spacing w:after="120"/>
      </w:pPr>
      <w:r>
        <w:rPr>
          <w:rFonts w:ascii="Arial" w:cs="Arial" w:eastAsia="Arial" w:hAnsi="Arial"/>
          <w:sz w:val="22"/>
          <w:szCs w:val="22"/>
        </w:rPr>
        <w:t xml:space="preserve">Validate HRV and activity-level monitoring as useful auxiliary data for caregiver adjustment decisions.</w:t>
      </w:r>
    </w:p>
    <w:p>
      <w:pPr>
        <w:pStyle w:val="ListParagraph"/>
        <w:numPr>
          <w:ilvl w:val="0"/>
          <w:numId w:val="2"/>
        </w:numPr>
        <w:spacing w:after="120"/>
      </w:pPr>
      <w:r>
        <w:rPr>
          <w:rFonts w:ascii="Arial" w:cs="Arial" w:eastAsia="Arial" w:hAnsi="Arial"/>
          <w:sz w:val="22"/>
          <w:szCs w:val="22"/>
        </w:rPr>
        <w:t xml:space="preserve">Demonstrate proof-of-concept efficacy of the human-supervised infusion system in validated preclinical ADHD models.</w:t>
      </w:r>
    </w:p>
    <w:p>
      <w:pPr>
        <w:pStyle w:val="ListParagraph"/>
        <w:numPr>
          <w:ilvl w:val="0"/>
          <w:numId w:val="2"/>
        </w:numPr>
        <w:spacing w:after="120"/>
      </w:pPr>
      <w:r>
        <w:rPr>
          <w:rFonts w:ascii="Arial" w:cs="Arial" w:eastAsia="Arial" w:hAnsi="Arial"/>
          <w:sz w:val="22"/>
          <w:szCs w:val="22"/>
        </w:rPr>
        <w:t xml:space="preserve">Conduct preliminary human factors research into caregiver usability, acceptability, and training requirements for the device interface.</w:t>
      </w:r>
    </w:p>
    <w:p>
      <w:pPr>
        <w:pStyle w:val="Heading1"/>
      </w:pPr>
      <w:r>
        <w:t xml:space="preserve">5. Proposed Methodology</w:t>
      </w:r>
    </w:p>
    <w:p>
      <w:pPr>
        <w:pStyle w:val="Heading2"/>
      </w:pPr>
      <w:r>
        <w:t xml:space="preserve">5.1 Pharmacological Development</w:t>
      </w:r>
    </w:p>
    <w:p>
      <w:pPr>
        <w:spacing w:after="180"/>
        <w:jc w:val="both"/>
      </w:pPr>
      <w:r>
        <w:rPr>
          <w:rFonts w:ascii="Arial" w:cs="Arial" w:eastAsia="Arial" w:hAnsi="Arial"/>
          <w:sz w:val="22"/>
          <w:szCs w:val="22"/>
        </w:rPr>
        <w:t xml:space="preserve">Computational SAR analysis and synthesis of a focused DMT analog library (15–25 compounds), followed by in vitro receptor profiling across 50+ targets. Lead selection will explicitly weight aqueous solubility, chemical stability at physiological pH, and subcutaneous bioavailability in rodent pharmacokinetic studies, as these properties are prerequisites for device-based liquid delivery.</w:t>
      </w:r>
    </w:p>
    <w:p>
      <w:pPr>
        <w:pStyle w:val="Heading2"/>
      </w:pPr>
      <w:r>
        <w:t xml:space="preserve">5.2 Formulation and Device Integration</w:t>
      </w:r>
    </w:p>
    <w:p>
      <w:pPr>
        <w:spacing w:after="180"/>
        <w:jc w:val="both"/>
      </w:pPr>
      <w:r>
        <w:rPr>
          <w:rFonts w:ascii="Arial" w:cs="Arial" w:eastAsia="Arial" w:hAnsi="Arial"/>
          <w:sz w:val="22"/>
          <w:szCs w:val="22"/>
        </w:rPr>
        <w:t xml:space="preserve">The lead compound will be formulated as a stable aqueous solution at physiological pH, optimised for subcutaneous absorption. Compatibility with commercial infusion pump reservoirs and cannula materials will be assessed. Accelerated stability testing will determine shelf life and storage requirements. Subcutaneous pharmacokinetic profiling in rats will establish the relationship between infusion rate and plasma exposure, providing the data needed to set safe basal rate ranges and dose adjustment limits in the device firmware.</w:t>
      </w:r>
    </w:p>
    <w:p>
      <w:pPr>
        <w:pStyle w:val="Heading2"/>
      </w:pPr>
      <w:r>
        <w:t xml:space="preserve">5.3 Secure Interface and Safety Firmware Development</w:t>
      </w:r>
    </w:p>
    <w:p>
      <w:pPr>
        <w:spacing w:after="180"/>
        <w:jc w:val="both"/>
      </w:pPr>
      <w:r>
        <w:rPr>
          <w:rFonts w:ascii="Arial" w:cs="Arial" w:eastAsia="Arial" w:hAnsi="Arial"/>
          <w:sz w:val="22"/>
          <w:szCs w:val="22"/>
        </w:rPr>
        <w:t xml:space="preserve">The caregiver application and device firmware will be developed to implement: multi-factor authentication for all dosing actions; a tiered permission structure (physician sets limits, caregiver adjusts within limits, patient has read-only view); complete immutable audit logging of all adjustments; and hard-coded firmware safety ceilings that cannot be overridden via software update without physical device recertification. Security architecture will be reviewed against medical device cybersecurity standards (NIST SP 800-53, FDA Cybersecurity Guidance for Medical Devices).</w:t>
      </w:r>
    </w:p>
    <w:p>
      <w:pPr>
        <w:pStyle w:val="Heading2"/>
      </w:pPr>
      <w:r>
        <w:t xml:space="preserve">5.4 Validation of the Human-Titration Model</w:t>
      </w:r>
    </w:p>
    <w:p>
      <w:pPr>
        <w:spacing w:after="180"/>
        <w:jc w:val="both"/>
      </w:pPr>
      <w:r>
        <w:rPr>
          <w:rFonts w:ascii="Arial" w:cs="Arial" w:eastAsia="Arial" w:hAnsi="Arial"/>
          <w:sz w:val="22"/>
          <w:szCs w:val="22"/>
        </w:rPr>
        <w:t xml:space="preserve">To validate the human-titration approach in a research setting, a simulated-use study will be conducted in which caregiver participants (n=20–30) interact with a non-dispensing device prototype loaded with behavioural vignettes representing ADHD symptom scenarios. Primary endpoints will include: accuracy of caregiver dosing decisions relative to clinical expert benchmark; time to adjustment decision; frequency of protocol deviations; and caregiver-reported confidence and usability scores (System Usability Scale). This study design mirrors validated methodologies used in insulin pump usability research and will generate the evidence base required for subsequent regulatory engagement.</w:t>
      </w:r>
    </w:p>
    <w:p>
      <w:pPr>
        <w:pStyle w:val="Heading2"/>
      </w:pPr>
      <w:r>
        <w:t xml:space="preserve">5.5 Preclinical Efficacy Testing</w:t>
      </w:r>
    </w:p>
    <w:p>
      <w:pPr>
        <w:spacing w:after="180"/>
        <w:jc w:val="both"/>
      </w:pPr>
      <w:r>
        <w:rPr>
          <w:rFonts w:ascii="Arial" w:cs="Arial" w:eastAsia="Arial" w:hAnsi="Arial"/>
          <w:sz w:val="22"/>
          <w:szCs w:val="22"/>
        </w:rPr>
        <w:t xml:space="preserve">Lead compounds will be evaluated in the Spontaneously Hypertensive Rat (SHR) model and a DAT-knockdown mouse line. Subcutaneous infusion will be delivered via implanted osmotic minipumps at doses calibrated from PK data. Behavioural endpoints — 5-Choice Serial Reaction Time Task (5-CSRTT) for attentional accuracy and impulsivity; Elevated Plus Maze for hyperactivity — will compare fixed-dose subcutaneous administration against simulated caregiver-adjusted dosing schedules. All animal work will comply with the 3Rs framework under institutional ethical approval.</w:t>
      </w:r>
    </w:p>
    <w:p>
      <w:pPr>
        <w:pStyle w:val="Heading1"/>
      </w:pPr>
      <w:r>
        <w:t xml:space="preserve">6. Significance</w:t>
      </w:r>
    </w:p>
    <w:p>
      <w:pPr>
        <w:spacing w:after="180"/>
        <w:jc w:val="both"/>
      </w:pPr>
      <w:r>
        <w:rPr>
          <w:rFonts w:ascii="Arial" w:cs="Arial" w:eastAsia="Arial" w:hAnsi="Arial"/>
          <w:sz w:val="22"/>
          <w:szCs w:val="22"/>
        </w:rPr>
        <w:t xml:space="preserve">This system addresses a real and practical gap. ADHD symptom severity is not constant — it fluctuates with time of day, task demand, stress, and sleep quality. Fixed-dose oral medication cannot respond to this variability. The proposed system can. By placing adjustment authority in the hands of an informed, authenticated caregiver — rather than an autonomous algorithm — the design is also more immediately compatible with regulatory frameworks, parental comfort, and clinical governance than a fully automated approach would be.</w:t>
      </w:r>
    </w:p>
    <w:p>
      <w:pPr>
        <w:spacing w:after="180"/>
        <w:jc w:val="both"/>
      </w:pPr>
      <w:r>
        <w:rPr>
          <w:rFonts w:ascii="Arial" w:cs="Arial" w:eastAsia="Arial" w:hAnsi="Arial"/>
          <w:sz w:val="22"/>
          <w:szCs w:val="22"/>
        </w:rPr>
        <w:t xml:space="preserve">The combination of a novel non-hallucinogenic compound with a supervised delivery architecture has not previously been proposed for ADHD or any related indication. If validated, it would represent a practical and deployable advance in precision ADHD management.</w:t>
      </w:r>
    </w:p>
    <w:p>
      <w:pPr>
        <w:pStyle w:val="Heading1"/>
      </w:pPr>
      <w:r>
        <w:t xml:space="preserve">7. Ethical Considerations</w:t>
      </w:r>
    </w:p>
    <w:p>
      <w:pPr>
        <w:spacing w:after="180"/>
        <w:jc w:val="both"/>
      </w:pPr>
      <w:r>
        <w:rPr>
          <w:rFonts w:ascii="Arial" w:cs="Arial" w:eastAsia="Arial" w:hAnsi="Arial"/>
          <w:sz w:val="22"/>
          <w:szCs w:val="22"/>
        </w:rPr>
        <w:t xml:space="preserve">All animal work will be conducted under institutional Animal Ethics Committee approval in full compliance with the 3Rs framework. No human subjects research is proposed at this stage beyond non-dispensing usability studies. Data generated by the monitoring application — including behavioural observations and physiological logs — will be handled in full compliance with applicable data protection legislation. The regulatory scheduling status of novel DMT analogs will be assessed with legal counsel prior to any experimental work. The tiered access model, audit logging, and firmware safety ceilings are designed from the outset to meet medical device regulatory requirements in both the UK (MHRA) and international (FDA, EMA) jurisdictions.</w:t>
      </w:r>
    </w:p>
    <w:p>
      <w:pPr>
        <w:pStyle w:val="Heading1"/>
      </w:pPr>
      <w:r>
        <w:t xml:space="preserve">8. Proposed Timeline</w:t>
      </w:r>
    </w:p>
    <w:p>
      <w:pPr>
        <w:pStyle w:val="ListParagraph"/>
        <w:numPr>
          <w:ilvl w:val="0"/>
          <w:numId w:val="2"/>
        </w:numPr>
        <w:spacing w:after="120"/>
      </w:pPr>
      <w:r>
        <w:rPr>
          <w:rFonts w:ascii="Arial" w:cs="Arial" w:eastAsia="Arial" w:hAnsi="Arial"/>
          <w:b/>
          <w:bCs/>
          <w:sz w:val="22"/>
          <w:szCs w:val="22"/>
        </w:rPr>
        <w:t xml:space="preserve">Months 1–6: </w:t>
      </w:r>
      <w:r>
        <w:rPr>
          <w:rFonts w:ascii="Arial" w:cs="Arial" w:eastAsia="Arial" w:hAnsi="Arial"/>
          <w:sz w:val="22"/>
          <w:szCs w:val="22"/>
        </w:rPr>
        <w:t xml:space="preserve">SAR analysis, analog synthesis, and in vitro pharmacological profiling</w:t>
      </w:r>
    </w:p>
    <w:p>
      <w:pPr>
        <w:pStyle w:val="ListParagraph"/>
        <w:numPr>
          <w:ilvl w:val="0"/>
          <w:numId w:val="2"/>
        </w:numPr>
        <w:spacing w:after="120"/>
      </w:pPr>
      <w:r>
        <w:rPr>
          <w:rFonts w:ascii="Arial" w:cs="Arial" w:eastAsia="Arial" w:hAnsi="Arial"/>
          <w:b/>
          <w:bCs/>
          <w:sz w:val="22"/>
          <w:szCs w:val="22"/>
        </w:rPr>
        <w:t xml:space="preserve">Months 4–10: </w:t>
      </w:r>
      <w:r>
        <w:rPr>
          <w:rFonts w:ascii="Arial" w:cs="Arial" w:eastAsia="Arial" w:hAnsi="Arial"/>
          <w:sz w:val="22"/>
          <w:szCs w:val="22"/>
        </w:rPr>
        <w:t xml:space="preserve">Lead compound selection, liquid formulation development, and subcutaneous PK studies in rodents</w:t>
      </w:r>
    </w:p>
    <w:p>
      <w:pPr>
        <w:pStyle w:val="ListParagraph"/>
        <w:numPr>
          <w:ilvl w:val="0"/>
          <w:numId w:val="2"/>
        </w:numPr>
        <w:spacing w:after="120"/>
      </w:pPr>
      <w:r>
        <w:rPr>
          <w:rFonts w:ascii="Arial" w:cs="Arial" w:eastAsia="Arial" w:hAnsi="Arial"/>
          <w:b/>
          <w:bCs/>
          <w:sz w:val="22"/>
          <w:szCs w:val="22"/>
        </w:rPr>
        <w:t xml:space="preserve">Months 6–12: </w:t>
      </w:r>
      <w:r>
        <w:rPr>
          <w:rFonts w:ascii="Arial" w:cs="Arial" w:eastAsia="Arial" w:hAnsi="Arial"/>
          <w:sz w:val="22"/>
          <w:szCs w:val="22"/>
        </w:rPr>
        <w:t xml:space="preserve">Firmware and caregiver application development; cybersecurity architecture review</w:t>
      </w:r>
    </w:p>
    <w:p>
      <w:pPr>
        <w:pStyle w:val="ListParagraph"/>
        <w:numPr>
          <w:ilvl w:val="0"/>
          <w:numId w:val="2"/>
        </w:numPr>
        <w:spacing w:after="120"/>
      </w:pPr>
      <w:r>
        <w:rPr>
          <w:rFonts w:ascii="Arial" w:cs="Arial" w:eastAsia="Arial" w:hAnsi="Arial"/>
          <w:b/>
          <w:bCs/>
          <w:sz w:val="22"/>
          <w:szCs w:val="22"/>
        </w:rPr>
        <w:t xml:space="preserve">Months 10–16: </w:t>
      </w:r>
      <w:r>
        <w:rPr>
          <w:rFonts w:ascii="Arial" w:cs="Arial" w:eastAsia="Arial" w:hAnsi="Arial"/>
          <w:sz w:val="22"/>
          <w:szCs w:val="22"/>
        </w:rPr>
        <w:t xml:space="preserve">Simulated-use caregiver usability validation study</w:t>
      </w:r>
    </w:p>
    <w:p>
      <w:pPr>
        <w:pStyle w:val="ListParagraph"/>
        <w:numPr>
          <w:ilvl w:val="0"/>
          <w:numId w:val="2"/>
        </w:numPr>
        <w:spacing w:after="120"/>
      </w:pPr>
      <w:r>
        <w:rPr>
          <w:rFonts w:ascii="Arial" w:cs="Arial" w:eastAsia="Arial" w:hAnsi="Arial"/>
          <w:b/>
          <w:bCs/>
          <w:sz w:val="22"/>
          <w:szCs w:val="22"/>
        </w:rPr>
        <w:t xml:space="preserve">Months 12–20: </w:t>
      </w:r>
      <w:r>
        <w:rPr>
          <w:rFonts w:ascii="Arial" w:cs="Arial" w:eastAsia="Arial" w:hAnsi="Arial"/>
          <w:sz w:val="22"/>
          <w:szCs w:val="22"/>
        </w:rPr>
        <w:t xml:space="preserve">Preclinical efficacy and safety studies in ADHD animal models</w:t>
      </w:r>
    </w:p>
    <w:p>
      <w:pPr>
        <w:pStyle w:val="ListParagraph"/>
        <w:numPr>
          <w:ilvl w:val="0"/>
          <w:numId w:val="2"/>
        </w:numPr>
        <w:spacing w:after="120"/>
      </w:pPr>
      <w:r>
        <w:rPr>
          <w:rFonts w:ascii="Arial" w:cs="Arial" w:eastAsia="Arial" w:hAnsi="Arial"/>
          <w:b/>
          <w:bCs/>
          <w:sz w:val="22"/>
          <w:szCs w:val="22"/>
        </w:rPr>
        <w:t xml:space="preserve">Months 20–24: </w:t>
      </w:r>
      <w:r>
        <w:rPr>
          <w:rFonts w:ascii="Arial" w:cs="Arial" w:eastAsia="Arial" w:hAnsi="Arial"/>
          <w:sz w:val="22"/>
          <w:szCs w:val="22"/>
        </w:rPr>
        <w:t xml:space="preserve">Data analysis, manuscript preparation, patent assessment, and Phase II grant application</w:t>
      </w:r>
    </w:p>
    <w:p>
      <w:pPr>
        <w:pStyle w:val="Heading1"/>
      </w:pPr>
      <w:r>
        <w:t xml:space="preserve">9. References</w:t>
      </w:r>
    </w:p>
    <w:p>
      <w:pPr>
        <w:pStyle w:val="ListParagraph"/>
        <w:numPr>
          <w:ilvl w:val="0"/>
          <w:numId w:val="2"/>
        </w:numPr>
        <w:spacing w:after="100"/>
      </w:pPr>
      <w:r>
        <w:rPr>
          <w:rFonts w:ascii="Arial" w:cs="Arial" w:eastAsia="Arial" w:hAnsi="Arial"/>
          <w:sz w:val="20"/>
          <w:szCs w:val="20"/>
        </w:rPr>
        <w:t xml:space="preserve">Carbonaro TM, Gatch MB. Neuropharmacology of N,N-dimethyltryptamine. Brain Res Bull. 2016;126:74–88.</w:t>
      </w:r>
    </w:p>
    <w:p>
      <w:pPr>
        <w:pStyle w:val="ListParagraph"/>
        <w:numPr>
          <w:ilvl w:val="0"/>
          <w:numId w:val="2"/>
        </w:numPr>
        <w:spacing w:after="100"/>
      </w:pPr>
      <w:r>
        <w:rPr>
          <w:rFonts w:ascii="Arial" w:cs="Arial" w:eastAsia="Arial" w:hAnsi="Arial"/>
          <w:sz w:val="20"/>
          <w:szCs w:val="20"/>
        </w:rPr>
        <w:t xml:space="preserve">Olson DE, et al. Psychoplastogens: A promising class of plasticity-promoting neurotherapeutics. J Neurosci. 2018;38(36):7689–7698.</w:t>
      </w:r>
    </w:p>
    <w:p>
      <w:pPr>
        <w:pStyle w:val="ListParagraph"/>
        <w:numPr>
          <w:ilvl w:val="0"/>
          <w:numId w:val="2"/>
        </w:numPr>
        <w:spacing w:after="100"/>
      </w:pPr>
      <w:r>
        <w:rPr>
          <w:rFonts w:ascii="Arial" w:cs="Arial" w:eastAsia="Arial" w:hAnsi="Arial"/>
          <w:sz w:val="20"/>
          <w:szCs w:val="20"/>
        </w:rPr>
        <w:t xml:space="preserve">Fontanilla D, et al. The hallucinogen N,N-dimethyltryptamine is an endogenous sigma-1 receptor regulator. Science. 2009;323(5916):934–937.</w:t>
      </w:r>
    </w:p>
    <w:p>
      <w:pPr>
        <w:pStyle w:val="ListParagraph"/>
        <w:numPr>
          <w:ilvl w:val="0"/>
          <w:numId w:val="2"/>
        </w:numPr>
        <w:spacing w:after="100"/>
      </w:pPr>
      <w:r>
        <w:rPr>
          <w:rFonts w:ascii="Arial" w:cs="Arial" w:eastAsia="Arial" w:hAnsi="Arial"/>
          <w:sz w:val="20"/>
          <w:szCs w:val="20"/>
        </w:rPr>
        <w:t xml:space="preserve">Rutigliano G, et al. Trace amine associated receptor 1 (TAAR1) as a new target for CNS disorders. Neuroscience. 2017;342:168–181.</w:t>
      </w:r>
    </w:p>
    <w:p>
      <w:pPr>
        <w:pStyle w:val="ListParagraph"/>
        <w:numPr>
          <w:ilvl w:val="0"/>
          <w:numId w:val="2"/>
        </w:numPr>
        <w:spacing w:after="100"/>
      </w:pPr>
      <w:r>
        <w:rPr>
          <w:rFonts w:ascii="Arial" w:cs="Arial" w:eastAsia="Arial" w:hAnsi="Arial"/>
          <w:sz w:val="20"/>
          <w:szCs w:val="20"/>
        </w:rPr>
        <w:t xml:space="preserve">Faraone SV, et al. The World Federation of ADHD International Consensus Statement. Neurosci Biobehav Rev. 2021;128:789–818.</w:t>
      </w:r>
    </w:p>
    <w:p>
      <w:pPr>
        <w:pStyle w:val="ListParagraph"/>
        <w:numPr>
          <w:ilvl w:val="0"/>
          <w:numId w:val="2"/>
        </w:numPr>
        <w:spacing w:after="100"/>
      </w:pPr>
      <w:r>
        <w:rPr>
          <w:rFonts w:ascii="Arial" w:cs="Arial" w:eastAsia="Arial" w:hAnsi="Arial"/>
          <w:sz w:val="20"/>
          <w:szCs w:val="20"/>
        </w:rPr>
        <w:t xml:space="preserve">Brown SA, et al. Six-month randomized, multicenter trial of closed-loop control in type 1 diabetes. N Engl J Med. 2019;381:1707–1717.</w:t>
      </w:r>
    </w:p>
    <w:p>
      <w:pPr>
        <w:pStyle w:val="ListParagraph"/>
        <w:numPr>
          <w:ilvl w:val="0"/>
          <w:numId w:val="2"/>
        </w:numPr>
        <w:spacing w:after="100"/>
      </w:pPr>
      <w:r>
        <w:rPr>
          <w:rFonts w:ascii="Arial" w:cs="Arial" w:eastAsia="Arial" w:hAnsi="Arial"/>
          <w:sz w:val="20"/>
          <w:szCs w:val="20"/>
        </w:rPr>
        <w:t xml:space="preserve">U.S. Food and Drug Administration. Cybersecurity in Medical Devices: Quality System Considerations and Content of Premarket Submissions. 2023.</w:t>
      </w:r>
    </w:p>
    <w:p>
      <w:pPr>
        <w:pStyle w:val="ListParagraph"/>
        <w:numPr>
          <w:ilvl w:val="0"/>
          <w:numId w:val="2"/>
        </w:numPr>
        <w:spacing w:after="100"/>
      </w:pPr>
      <w:r>
        <w:rPr>
          <w:rFonts w:ascii="Arial" w:cs="Arial" w:eastAsia="Arial" w:hAnsi="Arial"/>
          <w:sz w:val="20"/>
          <w:szCs w:val="20"/>
        </w:rPr>
        <w:t xml:space="preserve">Kile BM, et al. Synergistic trapping of dopamine in the rat striatum. J Neurosci. 2012;32(34):11609–11617.</w:t>
      </w:r>
    </w:p>
    <w:p>
      <w:pPr>
        <w:pBdr>
          <w:top w:val="single" w:color="1F3864" w:sz="4" w:space="1"/>
        </w:pBdr>
        <w:spacing w:before="480"/>
      </w:pPr>
    </w:p>
    <w:p>
      <w:pPr>
        <w:spacing w:before="200"/>
        <w:jc w:val="center"/>
      </w:pPr>
      <w:r>
        <w:rPr>
          <w:rFonts w:ascii="Arial" w:cs="Arial" w:eastAsia="Arial" w:hAnsi="Arial"/>
          <w:b/>
          <w:bCs/>
          <w:color w:val="1F3864"/>
          <w:sz w:val="24"/>
          <w:szCs w:val="24"/>
        </w:rPr>
        <w:t xml:space="preserve">Craig Huckerby</w:t>
      </w:r>
    </w:p>
    <w:p>
      <w:pPr>
        <w:spacing w:before="60"/>
        <w:jc w:val="center"/>
      </w:pPr>
      <w:r>
        <w:rPr>
          <w:rFonts w:ascii="Arial" w:cs="Arial" w:eastAsia="Arial" w:hAnsi="Arial"/>
          <w:i/>
          <w:iCs/>
          <w:color w:val="666666"/>
          <w:sz w:val="20"/>
          <w:szCs w:val="20"/>
        </w:rPr>
        <w:t xml:space="preserve">Author  |  March 2026</w:t>
      </w:r>
    </w:p>
    <w:p>
      <w:pPr>
        <w:spacing w:before="40"/>
        <w:jc w:val="center"/>
      </w:pPr>
      <w:r>
        <w:rPr>
          <w:rFonts w:ascii="Arial" w:cs="Arial" w:eastAsia="Arial" w:hAnsi="Arial"/>
          <w:i/>
          <w:iCs/>
          <w:color w:val="999999"/>
          <w:sz w:val="18"/>
          <w:szCs w:val="18"/>
        </w:rPr>
        <w:t xml:space="preserve">Preliminary Research Proposal — Not for Distribution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555555"/>
        <w:sz w:val="18"/>
        <w:szCs w:val="18"/>
      </w:rPr>
      <w:t xml:space="preserve">Craig Huckerby  |  Supervised Subcutaneous DMT Analog Delivery for ADHD</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RESEARCH PROPOSAL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2026-03-07T12:42:12.889Z</dcterms:created>
  <dcterms:modified xsi:type="dcterms:W3CDTF">2026-03-07T12:42:12.890Z</dcterms:modified>
</cp:coreProperties>
</file>

<file path=docProps/custom.xml><?xml version="1.0" encoding="utf-8"?>
<Properties xmlns="http://schemas.openxmlformats.org/officeDocument/2006/custom-properties" xmlns:vt="http://schemas.openxmlformats.org/officeDocument/2006/docPropsVTypes"/>
</file>