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after="160"/>
        <w:jc w:val="center"/>
      </w:pPr>
      <w:r>
        <w:rPr>
          <w:rFonts w:ascii="Arial" w:cs="Arial" w:eastAsia="Arial" w:hAnsi="Arial"/>
          <w:b/>
          <w:bCs/>
          <w:color w:val="1F3864"/>
          <w:sz w:val="38"/>
          <w:szCs w:val="38"/>
        </w:rPr>
        <w:t xml:space="preserve">Validation Framework for a Supervised Non-Hallucinogenic DMT Analog Delivery System for ADHD</w:t>
      </w:r>
    </w:p>
    <w:p>
      <w:pPr>
        <w:spacing w:before="80" w:after="80"/>
        <w:jc w:val="center"/>
      </w:pPr>
      <w:r>
        <w:rPr>
          <w:rFonts w:ascii="Arial" w:cs="Arial" w:eastAsia="Arial" w:hAnsi="Arial"/>
          <w:i/>
          <w:iCs/>
          <w:color w:val="444444"/>
          <w:sz w:val="26"/>
          <w:szCs w:val="26"/>
        </w:rPr>
        <w:t xml:space="preserve">A Step-by-Step Evidence Generation Protocol</w:t>
      </w:r>
    </w:p>
    <w:p>
      <w:pPr>
        <w:spacing w:before="200" w:after="80"/>
        <w:jc w:val="center"/>
      </w:pPr>
      <w:r>
        <w:rPr>
          <w:rFonts w:ascii="Arial" w:cs="Arial" w:eastAsia="Arial" w:hAnsi="Arial"/>
          <w:b/>
          <w:bCs/>
          <w:color w:val="333333"/>
          <w:sz w:val="24"/>
          <w:szCs w:val="24"/>
        </w:rPr>
        <w:t xml:space="preserve">Author: Craig Huckerby</w:t>
      </w:r>
    </w:p>
    <w:p>
      <w:pPr>
        <w:spacing w:before="40" w:after="40"/>
        <w:jc w:val="center"/>
      </w:pPr>
      <w:r>
        <w:rPr>
          <w:rFonts w:ascii="Arial" w:cs="Arial" w:eastAsia="Arial" w:hAnsi="Arial"/>
          <w:color w:val="666666"/>
          <w:sz w:val="22"/>
          <w:szCs w:val="22"/>
        </w:rPr>
        <w:t xml:space="preserve">Date: March 2026</w:t>
      </w:r>
    </w:p>
    <w:p>
      <w:pPr>
        <w:spacing w:before="40" w:after="480"/>
        <w:jc w:val="center"/>
      </w:pPr>
      <w:r>
        <w:rPr>
          <w:rFonts w:ascii="Arial" w:cs="Arial" w:eastAsia="Arial" w:hAnsi="Arial"/>
          <w:i/>
          <w:iCs/>
          <w:color w:val="888888"/>
          <w:sz w:val="20"/>
          <w:szCs w:val="20"/>
        </w:rPr>
        <w:t xml:space="preserve">Preliminary Research Proposal — Not for Distribution</w:t>
      </w:r>
    </w:p>
    <w:p>
      <w:pPr>
        <w:pBdr>
          <w:bottom w:val="single" w:color="1F3864" w:sz="8" w:space="1"/>
        </w:pBdr>
      </w:pPr>
    </w:p>
    <w:p>
      <w:pPr>
        <w:pStyle w:val="Heading1"/>
      </w:pPr>
      <w:r>
        <w:t xml:space="preserve">1. Purpose of This Document</w:t>
      </w:r>
    </w:p>
    <w:p>
      <w:pPr>
        <w:spacing w:after="180"/>
        <w:jc w:val="both"/>
      </w:pPr>
      <w:r>
        <w:rPr>
          <w:rFonts w:ascii="Arial" w:cs="Arial" w:eastAsia="Arial" w:hAnsi="Arial"/>
          <w:sz w:val="22"/>
          <w:szCs w:val="22"/>
        </w:rPr>
        <w:t xml:space="preserve">This document sets out a structured, step-by-step validation framework to establish whether the proposed DMT analog ADHD delivery system actually works. It answers one practical question: how do we find out if this is real? Each stage builds on the last. No stage is entered until the previous one has produced satisfactory evidence.</w:t>
      </w:r>
    </w:p>
    <w:p>
      <w:pPr>
        <w:pStyle w:val="Heading1"/>
      </w:pPr>
      <w:r>
        <w:t xml:space="preserve">2. The Scientific Case for an Accelerated Human Trial Pathway</w:t>
      </w:r>
    </w:p>
    <w:p>
      <w:pPr>
        <w:pStyle w:val="Heading2"/>
      </w:pPr>
      <w:r>
        <w:t xml:space="preserve">2.1 The Mechanism Is Reductive, Not Additive</w:t>
      </w:r>
    </w:p>
    <w:p>
      <w:pPr>
        <w:spacing w:after="180"/>
        <w:jc w:val="both"/>
      </w:pPr>
      <w:r>
        <w:rPr>
          <w:rFonts w:ascii="Arial" w:cs="Arial" w:eastAsia="Arial" w:hAnsi="Arial"/>
          <w:sz w:val="22"/>
          <w:szCs w:val="22"/>
        </w:rPr>
        <w:t xml:space="preserve">The proposed analog does not introduce a foreign stimulant or replace an absent chemical. ADHD involves excess disorganised dopaminergic and noradrenergic activity in prefrontal circuits. This compound acts to modulate and reduce an overactive system back toward a functional baseline — a dimmer switch on a circuit already running too bright. The therapeutic effect and the mechanism of action are the same thing. You are not treating ADHD by adding something. You are treating it by turning down what is already too loud.</w:t>
      </w:r>
    </w:p>
    <w:p>
      <w:pPr>
        <w:spacing w:after="180"/>
        <w:jc w:val="both"/>
      </w:pPr>
      <w:r>
        <w:rPr>
          <w:rFonts w:ascii="Arial" w:cs="Arial" w:eastAsia="Arial" w:hAnsi="Arial"/>
          <w:sz w:val="22"/>
          <w:szCs w:val="22"/>
        </w:rPr>
        <w:t xml:space="preserve">This distinction matters for validation. Where a compound introduces a novel foreign mechanism, extensive preclinical work is needed to characterise unknown risk. Here, the direction of effect is downward regulation toward normal. The compound is derived from an endogenous molecule already produced in the human brain. The risk question is therefore narrower: does this specific analog, at these specific sub-psychedelic doses, via this delivery route, modulate safely — not whether the class of compound is dangerous in principle.</w:t>
      </w:r>
    </w:p>
    <w:p>
      <w:pPr>
        <w:pStyle w:val="Heading2"/>
      </w:pPr>
      <w:r>
        <w:t xml:space="preserve">2.2 We Already Have Human Data — At Scale</w:t>
      </w:r>
    </w:p>
    <w:p>
      <w:pPr>
        <w:spacing w:after="180"/>
        <w:jc w:val="both"/>
      </w:pPr>
      <w:r>
        <w:rPr>
          <w:rFonts w:ascii="Arial" w:cs="Arial" w:eastAsia="Arial" w:hAnsi="Arial"/>
          <w:sz w:val="22"/>
          <w:szCs w:val="22"/>
        </w:rPr>
        <w:t xml:space="preserve">A conventional novel pharmaceutical enters human trials with no human exposure data whatsoever. That is not the situation here. DMT has been used by a very large number of people across decades of documented recreational and ceremonial use. The pharmacological responses across the full dose range are extensively characterised — not in controlled clinical trials, but in a real-world human dataset of a scale most pharmaceutical compounds never accumulate.</w:t>
      </w:r>
    </w:p>
    <w:p>
      <w:pPr>
        <w:spacing w:after="180"/>
        <w:jc w:val="both"/>
      </w:pPr>
      <w:r>
        <w:rPr>
          <w:rFonts w:ascii="Arial" w:cs="Arial" w:eastAsia="Arial" w:hAnsi="Arial"/>
          <w:sz w:val="22"/>
          <w:szCs w:val="22"/>
        </w:rPr>
        <w:t xml:space="preserve">What that dataset tells us is directly relevant to this proposal. At full psychedelic doses, the acute effects are the hallucinogenic experience — the high. But the state that follows — commonly described as calm, clear-headed, content, and normally functional — is the state this system is targeting. That post-absorption, sub-psychedelic state is not a side effect or a comedown. It is, for the purposes of this proposal, the therapeutic target. It is the level at which neurochemical activity has been modulated downward to a stable, functional baseline. And it is a state that millions of people have reached safely, without lasting harm, and described in consistent terms.</w:t>
      </w:r>
    </w:p>
    <w:p>
      <w:pPr>
        <w:spacing w:after="180"/>
        <w:jc w:val="both"/>
      </w:pPr>
      <w:r>
        <w:rPr>
          <w:rFonts w:ascii="Arial" w:cs="Arial" w:eastAsia="Arial" w:hAnsi="Arial"/>
          <w:sz w:val="22"/>
          <w:szCs w:val="22"/>
        </w:rPr>
        <w:t xml:space="preserve">This constitutes meaningful real-world evidence of human tolerability at the target effect level. It does not replace controlled clinical trials, and it will not satisfy a regulatory submission on its own. But it is a legitimate scientific basis for arguing that the risk profile at sub-psychedelic doses is sufficiently characterised to support proceeding to cautious low-dose human studies without requiring the full preclinical animal battery that would be mandated for a genuinely novel compound with no prior human exposure history.</w:t>
      </w:r>
    </w:p>
    <w:p>
      <w:pPr>
        <w:pStyle w:val="Heading2"/>
      </w:pPr>
      <w:r>
        <w:t xml:space="preserve">2.3 The Side Effect Is the Cure</w:t>
      </w:r>
    </w:p>
    <w:p>
      <w:pPr>
        <w:spacing w:after="180"/>
        <w:jc w:val="both"/>
      </w:pPr>
      <w:r>
        <w:rPr>
          <w:rFonts w:ascii="Arial" w:cs="Arial" w:eastAsia="Arial" w:hAnsi="Arial"/>
          <w:sz w:val="22"/>
          <w:szCs w:val="22"/>
        </w:rPr>
        <w:t xml:space="preserve">There is a further pharmacological argument unique to this system. The primary reason DMT is a scheduled substance — the hallucinogenic effect — is the very thing being engineered out. The residual effect that remains after that is removed is the calm, regulated neurochemical state that constitutes the therapeutic goal. In other words, what is ordinarily considered the unwanted side effect of DMT use — the come-down to normal — is precisely what this treatment is designed to produce and sustain. The compound's risk profile at that level is, by definition, what its existing human use history already documents.</w:t>
      </w:r>
    </w:p>
    <w:p>
      <w:pPr>
        <w:pStyle w:val="Heading1"/>
      </w:pPr>
      <w:r>
        <w:t xml:space="preserve">3. Step 1 — Laboratory Receptor Binding</w:t>
      </w:r>
    </w:p>
    <w:p>
      <w:pPr>
        <w:pStyle w:val="Heading2"/>
      </w:pPr>
      <w:r>
        <w:t xml:space="preserve">What We Are Testing</w:t>
      </w:r>
    </w:p>
    <w:p>
      <w:pPr>
        <w:spacing w:after="180"/>
        <w:jc w:val="both"/>
      </w:pPr>
      <w:r>
        <w:rPr>
          <w:rFonts w:ascii="Arial" w:cs="Arial" w:eastAsia="Arial" w:hAnsi="Arial"/>
          <w:sz w:val="22"/>
          <w:szCs w:val="22"/>
        </w:rPr>
        <w:t xml:space="preserve">Can we engineer a DMT analog that engages TAAR1 and sigma-1 receptors but does not activate 5-HT2A? This is the foundational claim. Everything else depends on it.</w:t>
      </w:r>
    </w:p>
    <w:p>
      <w:pPr>
        <w:pStyle w:val="Heading2"/>
      </w:pPr>
      <w:r>
        <w:t xml:space="preserve">How It Is Done</w:t>
      </w:r>
    </w:p>
    <w:p>
      <w:pPr>
        <w:pStyle w:val="ListParagraph"/>
        <w:numPr>
          <w:ilvl w:val="0"/>
          <w:numId w:val="2"/>
        </w:numPr>
        <w:spacing w:after="120"/>
      </w:pPr>
      <w:r>
        <w:rPr>
          <w:rFonts w:ascii="Arial" w:cs="Arial" w:eastAsia="Arial" w:hAnsi="Arial"/>
          <w:sz w:val="22"/>
          <w:szCs w:val="22"/>
        </w:rPr>
        <w:t xml:space="preserve">Radioligand displacement assays at 5-HT2A, TAAR1, and sigma-1 receptors using standard commercially available receptor preparations.</w:t>
      </w:r>
    </w:p>
    <w:p>
      <w:pPr>
        <w:pStyle w:val="ListParagraph"/>
        <w:numPr>
          <w:ilvl w:val="0"/>
          <w:numId w:val="2"/>
        </w:numPr>
        <w:spacing w:after="120"/>
      </w:pPr>
      <w:r>
        <w:rPr>
          <w:rFonts w:ascii="Arial" w:cs="Arial" w:eastAsia="Arial" w:hAnsi="Arial"/>
          <w:sz w:val="22"/>
          <w:szCs w:val="22"/>
        </w:rPr>
        <w:t xml:space="preserve">Functional assays to confirm that low 5-HT2A binding affinity translates to genuine absence of functional agonism — not just reduced affinity.</w:t>
      </w:r>
    </w:p>
    <w:p>
      <w:pPr>
        <w:pStyle w:val="ListParagraph"/>
        <w:numPr>
          <w:ilvl w:val="0"/>
          <w:numId w:val="2"/>
        </w:numPr>
        <w:spacing w:after="120"/>
      </w:pPr>
      <w:r>
        <w:rPr>
          <w:rFonts w:ascii="Arial" w:cs="Arial" w:eastAsia="Arial" w:hAnsi="Arial"/>
          <w:sz w:val="22"/>
          <w:szCs w:val="22"/>
        </w:rPr>
        <w:t xml:space="preserve">Broad off-target panel (50+ receptors, transporters, ion channels) to identify any unexpected activity.</w:t>
      </w:r>
    </w:p>
    <w:p>
      <w:pPr>
        <w:pStyle w:val="ListParagraph"/>
        <w:numPr>
          <w:ilvl w:val="0"/>
          <w:numId w:val="2"/>
        </w:numPr>
        <w:spacing w:after="120"/>
      </w:pPr>
      <w:r>
        <w:rPr>
          <w:rFonts w:ascii="Arial" w:cs="Arial" w:eastAsia="Arial" w:hAnsi="Arial"/>
          <w:sz w:val="22"/>
          <w:szCs w:val="22"/>
        </w:rPr>
        <w:t xml:space="preserve">Comparison of lead analog against parent DMT and against existing TAAR1 reference agonists.</w:t>
      </w:r>
    </w:p>
    <w:p>
      <w:pPr>
        <w:pStyle w:val="Heading2"/>
      </w:pPr>
      <w:r>
        <w:t xml:space="preserve">What a Pass Looks Like</w:t>
      </w:r>
    </w:p>
    <w:p>
      <w:pPr>
        <w:spacing w:after="180"/>
        <w:jc w:val="both"/>
      </w:pPr>
      <w:r>
        <w:rPr>
          <w:rFonts w:ascii="Arial" w:cs="Arial" w:eastAsia="Arial" w:hAnsi="Arial"/>
          <w:sz w:val="22"/>
          <w:szCs w:val="22"/>
        </w:rPr>
        <w:t xml:space="preserve">The lead analog demonstrates Ki &gt;1000 nM at 5-HT2A (functionally inactive), Ki &lt;100 nM at TAAR1 and sigma-1, and no significant off-target activity at safety-relevant receptors. This result is binary and reproducible. It either achieves selectivity or it does not.</w:t>
      </w:r>
    </w:p>
    <w:p>
      <w:pPr>
        <w:pStyle w:val="Heading2"/>
      </w:pPr>
      <w:r>
        <w:t xml:space="preserve">Timeline</w:t>
      </w:r>
    </w:p>
    <w:p>
      <w:pPr>
        <w:spacing w:after="180"/>
        <w:jc w:val="both"/>
      </w:pPr>
      <w:r>
        <w:rPr>
          <w:rFonts w:ascii="Arial" w:cs="Arial" w:eastAsia="Arial" w:hAnsi="Arial"/>
          <w:sz w:val="22"/>
          <w:szCs w:val="22"/>
        </w:rPr>
        <w:t xml:space="preserve">6–10 months. This is standard contract research organisation (CRO) work. It is the cheapest and fastest stage to run and the most logical first checkpoint before any further investment.</w:t>
      </w:r>
    </w:p>
    <w:p>
      <w:pPr>
        <w:pStyle w:val="Heading1"/>
      </w:pPr>
      <w:r>
        <w:t xml:space="preserve">4. Step 2 — Animal Studies (Contextual, Not Prerequisite)</w:t>
      </w:r>
    </w:p>
    <w:p>
      <w:pPr>
        <w:pStyle w:val="Heading2"/>
      </w:pPr>
      <w:r>
        <w:t xml:space="preserve">Position in the Validation Pathway</w:t>
      </w:r>
    </w:p>
    <w:p>
      <w:pPr>
        <w:spacing w:after="180"/>
        <w:jc w:val="both"/>
      </w:pPr>
      <w:r>
        <w:rPr>
          <w:rFonts w:ascii="Arial" w:cs="Arial" w:eastAsia="Arial" w:hAnsi="Arial"/>
          <w:sz w:val="22"/>
          <w:szCs w:val="22"/>
        </w:rPr>
        <w:t xml:space="preserve">Given the scientific arguments set out in Section 2, animal efficacy studies are included here for completeness and because they will be expected by regulatory bodies as part of any eventual clinical trial application. They are not, however, a scientific prerequisite for cautious human trials in the way they would be for a genuinely novel compound. Their primary value in this framework is pharmacokinetic and safety characterisation of the specific analog — not proof of principle, which is already supported by the human evidence base described above.</w:t>
      </w:r>
    </w:p>
    <w:p>
      <w:pPr>
        <w:pStyle w:val="Heading2"/>
      </w:pPr>
      <w:r>
        <w:t xml:space="preserve">What Is Tested</w:t>
      </w:r>
    </w:p>
    <w:p>
      <w:pPr>
        <w:pStyle w:val="ListParagraph"/>
        <w:numPr>
          <w:ilvl w:val="0"/>
          <w:numId w:val="2"/>
        </w:numPr>
        <w:spacing w:after="120"/>
      </w:pPr>
      <w:r>
        <w:rPr>
          <w:rFonts w:ascii="Arial" w:cs="Arial" w:eastAsia="Arial" w:hAnsi="Arial"/>
          <w:sz w:val="22"/>
          <w:szCs w:val="22"/>
        </w:rPr>
        <w:t xml:space="preserve">Subcutaneous pharmacokinetics: absorption rate, peak plasma concentration, half-life, and clearance of the analog in rodent models.</w:t>
      </w:r>
    </w:p>
    <w:p>
      <w:pPr>
        <w:pStyle w:val="ListParagraph"/>
        <w:numPr>
          <w:ilvl w:val="0"/>
          <w:numId w:val="2"/>
        </w:numPr>
        <w:spacing w:after="120"/>
      </w:pPr>
      <w:r>
        <w:rPr>
          <w:rFonts w:ascii="Arial" w:cs="Arial" w:eastAsia="Arial" w:hAnsi="Arial"/>
          <w:sz w:val="22"/>
          <w:szCs w:val="22"/>
        </w:rPr>
        <w:t xml:space="preserve">Basic tolerability: weight, food intake, organ weights, and standard haematological markers following 28-day subcutaneous infusion.</w:t>
      </w:r>
    </w:p>
    <w:p>
      <w:pPr>
        <w:pStyle w:val="ListParagraph"/>
        <w:numPr>
          <w:ilvl w:val="0"/>
          <w:numId w:val="2"/>
        </w:numPr>
        <w:spacing w:after="120"/>
      </w:pPr>
      <w:r>
        <w:rPr>
          <w:rFonts w:ascii="Arial" w:cs="Arial" w:eastAsia="Arial" w:hAnsi="Arial"/>
          <w:sz w:val="22"/>
          <w:szCs w:val="22"/>
        </w:rPr>
        <w:t xml:space="preserve">Behavioural observation: general activity, anxiety indicators, and any signs of perceptual disturbance at target dose ranges.</w:t>
      </w:r>
    </w:p>
    <w:p>
      <w:pPr>
        <w:pStyle w:val="Heading2"/>
      </w:pPr>
      <w:r>
        <w:t xml:space="preserve">What Is Not Claimed From This Stage</w:t>
      </w:r>
    </w:p>
    <w:p>
      <w:pPr>
        <w:spacing w:after="180"/>
        <w:jc w:val="both"/>
      </w:pPr>
      <w:r>
        <w:rPr>
          <w:rFonts w:ascii="Arial" w:cs="Arial" w:eastAsia="Arial" w:hAnsi="Arial"/>
          <w:sz w:val="22"/>
          <w:szCs w:val="22"/>
        </w:rPr>
        <w:t xml:space="preserve">Animal models of ADHD do not reliably predict human therapeutic response for this class of compound. We are not using animal studies to prove the drug works. We are using them to confirm the specific analog is not acutely toxic at the intended delivery doses and to characterise its pharmacokinetic profile in preparation for human dosing calculations.</w:t>
      </w:r>
    </w:p>
    <w:p>
      <w:pPr>
        <w:pStyle w:val="Heading2"/>
      </w:pPr>
      <w:r>
        <w:t xml:space="preserve">Timeline</w:t>
      </w:r>
    </w:p>
    <w:p>
      <w:pPr>
        <w:spacing w:after="180"/>
        <w:jc w:val="both"/>
      </w:pPr>
      <w:r>
        <w:rPr>
          <w:rFonts w:ascii="Arial" w:cs="Arial" w:eastAsia="Arial" w:hAnsi="Arial"/>
          <w:sz w:val="22"/>
          <w:szCs w:val="22"/>
        </w:rPr>
        <w:t xml:space="preserve">8–12 months, running in parallel with Step 1 receptor profiling and formulation work.</w:t>
      </w:r>
    </w:p>
    <w:p>
      <w:pPr>
        <w:pStyle w:val="Heading1"/>
      </w:pPr>
      <w:r>
        <w:t xml:space="preserve">5. Step 3 — Device and Software Validation</w:t>
      </w:r>
    </w:p>
    <w:p>
      <w:pPr>
        <w:pStyle w:val="Heading2"/>
      </w:pPr>
      <w:r>
        <w:t xml:space="preserve">What We Are Testing</w:t>
      </w:r>
    </w:p>
    <w:p>
      <w:pPr>
        <w:spacing w:after="180"/>
        <w:jc w:val="both"/>
      </w:pPr>
      <w:r>
        <w:rPr>
          <w:rFonts w:ascii="Arial" w:cs="Arial" w:eastAsia="Arial" w:hAnsi="Arial"/>
          <w:sz w:val="22"/>
          <w:szCs w:val="22"/>
        </w:rPr>
        <w:t xml:space="preserve">Does the caregiver-supervised delivery system work as designed? This is entirely separate from the pharmacology — it is an engineering and human factors question.</w:t>
      </w:r>
    </w:p>
    <w:p>
      <w:pPr>
        <w:pStyle w:val="Heading2"/>
      </w:pPr>
      <w:r>
        <w:t xml:space="preserve">How It Is Done</w:t>
      </w:r>
    </w:p>
    <w:p>
      <w:pPr>
        <w:pStyle w:val="ListParagraph"/>
        <w:numPr>
          <w:ilvl w:val="0"/>
          <w:numId w:val="2"/>
        </w:numPr>
        <w:spacing w:after="120"/>
      </w:pPr>
      <w:r>
        <w:rPr>
          <w:rFonts w:ascii="Arial" w:cs="Arial" w:eastAsia="Arial" w:hAnsi="Arial"/>
          <w:sz w:val="22"/>
          <w:szCs w:val="22"/>
        </w:rPr>
        <w:t xml:space="preserve">Bench testing of the infusion pump: delivery accuracy, flow rate consistency, occlusion detection, and battery life under simulated use conditions.</w:t>
      </w:r>
    </w:p>
    <w:p>
      <w:pPr>
        <w:pStyle w:val="ListParagraph"/>
        <w:numPr>
          <w:ilvl w:val="0"/>
          <w:numId w:val="2"/>
        </w:numPr>
        <w:spacing w:after="120"/>
      </w:pPr>
      <w:r>
        <w:rPr>
          <w:rFonts w:ascii="Arial" w:cs="Arial" w:eastAsia="Arial" w:hAnsi="Arial"/>
          <w:sz w:val="22"/>
          <w:szCs w:val="22"/>
        </w:rPr>
        <w:t xml:space="preserve">Firmware verification: confirmation that safety ceiling limits cannot be overridden by software input under any circumstances, including simulated adversarial attempts.</w:t>
      </w:r>
    </w:p>
    <w:p>
      <w:pPr>
        <w:pStyle w:val="ListParagraph"/>
        <w:numPr>
          <w:ilvl w:val="0"/>
          <w:numId w:val="2"/>
        </w:numPr>
        <w:spacing w:after="120"/>
      </w:pPr>
      <w:r>
        <w:rPr>
          <w:rFonts w:ascii="Arial" w:cs="Arial" w:eastAsia="Arial" w:hAnsi="Arial"/>
          <w:sz w:val="22"/>
          <w:szCs w:val="22"/>
        </w:rPr>
        <w:t xml:space="preserve">Cybersecurity penetration testing of the caregiver application against medical device security standards.</w:t>
      </w:r>
    </w:p>
    <w:p>
      <w:pPr>
        <w:pStyle w:val="ListParagraph"/>
        <w:numPr>
          <w:ilvl w:val="0"/>
          <w:numId w:val="2"/>
        </w:numPr>
        <w:spacing w:after="120"/>
      </w:pPr>
      <w:r>
        <w:rPr>
          <w:rFonts w:ascii="Arial" w:cs="Arial" w:eastAsia="Arial" w:hAnsi="Arial"/>
          <w:sz w:val="22"/>
          <w:szCs w:val="22"/>
        </w:rPr>
        <w:t xml:space="preserve">Simulated-use study: 20–30 caregiver participants interact with a non-dispensing prototype presented with realistic ADHD behavioural scenarios. Measured endpoints include dosing decision accuracy, time to adjustment, protocol deviation rate, and System Usability Scale scores.</w:t>
      </w:r>
    </w:p>
    <w:p>
      <w:pPr>
        <w:pStyle w:val="Heading2"/>
      </w:pPr>
      <w:r>
        <w:t xml:space="preserve">What a Pass Looks Like</w:t>
      </w:r>
    </w:p>
    <w:p>
      <w:pPr>
        <w:spacing w:after="180"/>
        <w:jc w:val="both"/>
      </w:pPr>
      <w:r>
        <w:rPr>
          <w:rFonts w:ascii="Arial" w:cs="Arial" w:eastAsia="Arial" w:hAnsi="Arial"/>
          <w:sz w:val="22"/>
          <w:szCs w:val="22"/>
        </w:rPr>
        <w:t xml:space="preserve">Pump delivery accuracy within ±5% of programmed rate. Zero firmware safety ceiling overrides achieved in adversarial testing. Caregiver dosing decision accuracy above 85% against clinical expert benchmark. System Usability Scale score above 70.</w:t>
      </w:r>
    </w:p>
    <w:p>
      <w:pPr>
        <w:pStyle w:val="Heading2"/>
      </w:pPr>
      <w:r>
        <w:t xml:space="preserve">Timeline</w:t>
      </w:r>
    </w:p>
    <w:p>
      <w:pPr>
        <w:spacing w:after="180"/>
        <w:jc w:val="both"/>
      </w:pPr>
      <w:r>
        <w:rPr>
          <w:rFonts w:ascii="Arial" w:cs="Arial" w:eastAsia="Arial" w:hAnsi="Arial"/>
          <w:sz w:val="22"/>
          <w:szCs w:val="22"/>
        </w:rPr>
        <w:t xml:space="preserve">6–10 months, largely in parallel with Steps 1 and 2.</w:t>
      </w:r>
    </w:p>
    <w:p>
      <w:pPr>
        <w:pStyle w:val="Heading1"/>
      </w:pPr>
      <w:r>
        <w:t xml:space="preserve">6. Step 4 — Phase I Human Safety Trial</w:t>
      </w:r>
    </w:p>
    <w:p>
      <w:pPr>
        <w:pStyle w:val="Heading2"/>
      </w:pPr>
      <w:r>
        <w:t xml:space="preserve">Design</w:t>
      </w:r>
    </w:p>
    <w:p>
      <w:pPr>
        <w:spacing w:after="180"/>
        <w:jc w:val="both"/>
      </w:pPr>
      <w:r>
        <w:rPr>
          <w:rFonts w:ascii="Arial" w:cs="Arial" w:eastAsia="Arial" w:hAnsi="Arial"/>
          <w:sz w:val="22"/>
          <w:szCs w:val="22"/>
        </w:rPr>
        <w:t xml:space="preserve">A small, tightly controlled, open-label dose-escalation study in healthy adult volunteers. The objective is safety and pharmacokinetics only — not therapeutic efficacy. Participants receive a single subcutaneous infusion of the analog at progressively increasing doses, starting well below the estimated therapeutic range, with full clinical monitoring.</w:t>
      </w:r>
    </w:p>
    <w:p>
      <w:pPr>
        <w:pStyle w:val="Heading2"/>
      </w:pPr>
      <w:r>
        <w:t xml:space="preserve">Why This Step Is Lower Risk Than a Conventional Novel Drug</w:t>
      </w:r>
    </w:p>
    <w:p>
      <w:pPr>
        <w:spacing w:after="180"/>
        <w:jc w:val="both"/>
      </w:pPr>
      <w:r>
        <w:rPr>
          <w:rFonts w:ascii="Arial" w:cs="Arial" w:eastAsia="Arial" w:hAnsi="Arial"/>
          <w:sz w:val="22"/>
          <w:szCs w:val="22"/>
        </w:rPr>
        <w:t xml:space="preserve">As argued in Section 2, the human tolerability of DMT at sub-psychedelic doses is extensively documented through real-world use. The Phase I study is not going into unknown territory in the way a truly novel compound would be. It is confirming, in a controlled clinical environment, that the specific analog at specific subcutaneous doses produces the expected pharmacokinetic profile without unexpected adverse events. The starting dose will be set conservatively well below the level at which any psychoactive effects have ever been reported.</w:t>
      </w:r>
    </w:p>
    <w:p>
      <w:pPr>
        <w:pStyle w:val="Heading2"/>
      </w:pPr>
      <w:r>
        <w:t xml:space="preserve">Primary Endpoints</w:t>
      </w:r>
    </w:p>
    <w:p>
      <w:pPr>
        <w:pStyle w:val="ListParagraph"/>
        <w:numPr>
          <w:ilvl w:val="0"/>
          <w:numId w:val="2"/>
        </w:numPr>
        <w:spacing w:after="120"/>
      </w:pPr>
      <w:r>
        <w:rPr>
          <w:rFonts w:ascii="Arial" w:cs="Arial" w:eastAsia="Arial" w:hAnsi="Arial"/>
          <w:sz w:val="22"/>
          <w:szCs w:val="22"/>
        </w:rPr>
        <w:t xml:space="preserve">Adverse event profile across dose levels.</w:t>
      </w:r>
    </w:p>
    <w:p>
      <w:pPr>
        <w:pStyle w:val="ListParagraph"/>
        <w:numPr>
          <w:ilvl w:val="0"/>
          <w:numId w:val="2"/>
        </w:numPr>
        <w:spacing w:after="120"/>
      </w:pPr>
      <w:r>
        <w:rPr>
          <w:rFonts w:ascii="Arial" w:cs="Arial" w:eastAsia="Arial" w:hAnsi="Arial"/>
          <w:sz w:val="22"/>
          <w:szCs w:val="22"/>
        </w:rPr>
        <w:t xml:space="preserve">Plasma concentration-time curve: Cmax, Tmax, AUC, half-life.</w:t>
      </w:r>
    </w:p>
    <w:p>
      <w:pPr>
        <w:pStyle w:val="ListParagraph"/>
        <w:numPr>
          <w:ilvl w:val="0"/>
          <w:numId w:val="2"/>
        </w:numPr>
        <w:spacing w:after="120"/>
      </w:pPr>
      <w:r>
        <w:rPr>
          <w:rFonts w:ascii="Arial" w:cs="Arial" w:eastAsia="Arial" w:hAnsi="Arial"/>
          <w:sz w:val="22"/>
          <w:szCs w:val="22"/>
        </w:rPr>
        <w:t xml:space="preserve">Vital signs and ECG monitoring throughout infusion.</w:t>
      </w:r>
    </w:p>
    <w:p>
      <w:pPr>
        <w:pStyle w:val="ListParagraph"/>
        <w:numPr>
          <w:ilvl w:val="0"/>
          <w:numId w:val="2"/>
        </w:numPr>
        <w:spacing w:after="120"/>
      </w:pPr>
      <w:r>
        <w:rPr>
          <w:rFonts w:ascii="Arial" w:cs="Arial" w:eastAsia="Arial" w:hAnsi="Arial"/>
          <w:sz w:val="22"/>
          <w:szCs w:val="22"/>
        </w:rPr>
        <w:t xml:space="preserve">Absence of 5-HT2A-mediated perceptual effects at all dose levels tested, confirmed by blinded clinical observer and validated psychometric instruments.</w:t>
      </w:r>
    </w:p>
    <w:p>
      <w:pPr>
        <w:pStyle w:val="Heading2"/>
      </w:pPr>
      <w:r>
        <w:t xml:space="preserve">Sample Size and Duration</w:t>
      </w:r>
    </w:p>
    <w:p>
      <w:pPr>
        <w:spacing w:after="180"/>
        <w:jc w:val="both"/>
      </w:pPr>
      <w:r>
        <w:rPr>
          <w:rFonts w:ascii="Arial" w:cs="Arial" w:eastAsia="Arial" w:hAnsi="Arial"/>
          <w:sz w:val="22"/>
          <w:szCs w:val="22"/>
        </w:rPr>
        <w:t xml:space="preserve">Approximately 18–24 participants in a 3+3 dose-escalation design. Active study period approximately 12 months. This study requires full ethics committee approval and regulatory notification (MHRA Clinical Trial Authorisation in the UK; IND application in the US).</w:t>
      </w:r>
    </w:p>
    <w:p>
      <w:pPr>
        <w:pStyle w:val="Heading1"/>
      </w:pPr>
      <w:r>
        <w:t xml:space="preserve">7. Step 5 — Phase II Efficacy Trial</w:t>
      </w:r>
    </w:p>
    <w:p>
      <w:pPr>
        <w:pStyle w:val="Heading2"/>
      </w:pPr>
      <w:r>
        <w:t xml:space="preserve">Design</w:t>
      </w:r>
    </w:p>
    <w:p>
      <w:pPr>
        <w:spacing w:after="180"/>
        <w:jc w:val="both"/>
      </w:pPr>
      <w:r>
        <w:rPr>
          <w:rFonts w:ascii="Arial" w:cs="Arial" w:eastAsia="Arial" w:hAnsi="Arial"/>
          <w:sz w:val="22"/>
          <w:szCs w:val="22"/>
        </w:rPr>
        <w:t xml:space="preserve">A randomised, double-blind, placebo-controlled trial in adults with a confirmed ADHD diagnosis. Participants are randomised to the supervised delivery system (active compound) or an identical device delivering placebo infusion, for a treatment period of 8 weeks. Caregivers and participants are blinded to allocation. All device interactions, including dosing adjustments, proceed identically in both arms.</w:t>
      </w:r>
    </w:p>
    <w:p>
      <w:pPr>
        <w:pStyle w:val="Heading2"/>
      </w:pPr>
      <w:r>
        <w:t xml:space="preserve">Primary Endpoints</w:t>
      </w:r>
    </w:p>
    <w:p>
      <w:pPr>
        <w:pStyle w:val="ListParagraph"/>
        <w:numPr>
          <w:ilvl w:val="0"/>
          <w:numId w:val="2"/>
        </w:numPr>
        <w:spacing w:after="120"/>
      </w:pPr>
      <w:r>
        <w:rPr>
          <w:rFonts w:ascii="Arial" w:cs="Arial" w:eastAsia="Arial" w:hAnsi="Arial"/>
          <w:sz w:val="22"/>
          <w:szCs w:val="22"/>
        </w:rPr>
        <w:t xml:space="preserve">Change from baseline in ADHD-RS-5 (ADHD Rating Scale) total score at 8 weeks.</w:t>
      </w:r>
    </w:p>
    <w:p>
      <w:pPr>
        <w:pStyle w:val="ListParagraph"/>
        <w:numPr>
          <w:ilvl w:val="0"/>
          <w:numId w:val="2"/>
        </w:numPr>
        <w:spacing w:after="120"/>
      </w:pPr>
      <w:r>
        <w:rPr>
          <w:rFonts w:ascii="Arial" w:cs="Arial" w:eastAsia="Arial" w:hAnsi="Arial"/>
          <w:sz w:val="22"/>
          <w:szCs w:val="22"/>
        </w:rPr>
        <w:t xml:space="preserve">Clinical Global Impression — Improvement (CGI-I) score at 8 weeks, rated by a blinded clinician.</w:t>
      </w:r>
    </w:p>
    <w:p>
      <w:pPr>
        <w:pStyle w:val="Heading2"/>
      </w:pPr>
      <w:r>
        <w:t xml:space="preserve">Secondary Endpoints</w:t>
      </w:r>
    </w:p>
    <w:p>
      <w:pPr>
        <w:pStyle w:val="ListParagraph"/>
        <w:numPr>
          <w:ilvl w:val="0"/>
          <w:numId w:val="2"/>
        </w:numPr>
        <w:spacing w:after="120"/>
      </w:pPr>
      <w:r>
        <w:rPr>
          <w:rFonts w:ascii="Arial" w:cs="Arial" w:eastAsia="Arial" w:hAnsi="Arial"/>
          <w:sz w:val="22"/>
          <w:szCs w:val="22"/>
        </w:rPr>
        <w:t xml:space="preserve">Time to first clinically meaningful response (defined as 30% reduction in ADHD-RS-5 score).</w:t>
      </w:r>
    </w:p>
    <w:p>
      <w:pPr>
        <w:pStyle w:val="ListParagraph"/>
        <w:numPr>
          <w:ilvl w:val="0"/>
          <w:numId w:val="2"/>
        </w:numPr>
        <w:spacing w:after="120"/>
      </w:pPr>
      <w:r>
        <w:rPr>
          <w:rFonts w:ascii="Arial" w:cs="Arial" w:eastAsia="Arial" w:hAnsi="Arial"/>
          <w:sz w:val="22"/>
          <w:szCs w:val="22"/>
        </w:rPr>
        <w:t xml:space="preserve">Quality of life measures (ADHD-specific and generic instruments).</w:t>
      </w:r>
    </w:p>
    <w:p>
      <w:pPr>
        <w:pStyle w:val="ListParagraph"/>
        <w:numPr>
          <w:ilvl w:val="0"/>
          <w:numId w:val="2"/>
        </w:numPr>
        <w:spacing w:after="120"/>
      </w:pPr>
      <w:r>
        <w:rPr>
          <w:rFonts w:ascii="Arial" w:cs="Arial" w:eastAsia="Arial" w:hAnsi="Arial"/>
          <w:sz w:val="22"/>
          <w:szCs w:val="22"/>
        </w:rPr>
        <w:t xml:space="preserve">Caregiver burden and satisfaction scores.</w:t>
      </w:r>
    </w:p>
    <w:p>
      <w:pPr>
        <w:pStyle w:val="ListParagraph"/>
        <w:numPr>
          <w:ilvl w:val="0"/>
          <w:numId w:val="2"/>
        </w:numPr>
        <w:spacing w:after="120"/>
      </w:pPr>
      <w:r>
        <w:rPr>
          <w:rFonts w:ascii="Arial" w:cs="Arial" w:eastAsia="Arial" w:hAnsi="Arial"/>
          <w:sz w:val="22"/>
          <w:szCs w:val="22"/>
        </w:rPr>
        <w:t xml:space="preserve">Frequency and nature of dosing adjustments made by caregivers across the treatment period.</w:t>
      </w:r>
    </w:p>
    <w:p>
      <w:pPr>
        <w:pStyle w:val="ListParagraph"/>
        <w:numPr>
          <w:ilvl w:val="0"/>
          <w:numId w:val="2"/>
        </w:numPr>
        <w:spacing w:after="120"/>
      </w:pPr>
      <w:r>
        <w:rPr>
          <w:rFonts w:ascii="Arial" w:cs="Arial" w:eastAsia="Arial" w:hAnsi="Arial"/>
          <w:sz w:val="22"/>
          <w:szCs w:val="22"/>
        </w:rPr>
        <w:t xml:space="preserve">Adverse event profile under real-world supervised use conditions.</w:t>
      </w:r>
    </w:p>
    <w:p>
      <w:pPr>
        <w:pStyle w:val="Heading2"/>
      </w:pPr>
      <w:r>
        <w:t xml:space="preserve">This Is Where the Hypothesis Is Proven or Rejected</w:t>
      </w:r>
    </w:p>
    <w:p>
      <w:pPr>
        <w:spacing w:after="180"/>
        <w:jc w:val="both"/>
      </w:pPr>
      <w:r>
        <w:rPr>
          <w:rFonts w:ascii="Arial" w:cs="Arial" w:eastAsia="Arial" w:hAnsi="Arial"/>
          <w:sz w:val="22"/>
          <w:szCs w:val="22"/>
        </w:rPr>
        <w:t xml:space="preserve">Steps 1 through 4 establish that the compound is selective, the device works, and the system is safe. Step 5 answers the actual question: does it help people with ADHD? A positive result here — statistically significant improvement in ADHD-RS-5 versus placebo — constitutes clinical proof of concept and the basis for Phase III and regulatory approval. A negative result means the hypothesis was wrong, and that result is equally valuable.</w:t>
      </w:r>
    </w:p>
    <w:p>
      <w:pPr>
        <w:pStyle w:val="Heading2"/>
      </w:pPr>
      <w:r>
        <w:t xml:space="preserve">Sample Size and Duration</w:t>
      </w:r>
    </w:p>
    <w:p>
      <w:pPr>
        <w:spacing w:after="180"/>
        <w:jc w:val="both"/>
      </w:pPr>
      <w:r>
        <w:rPr>
          <w:rFonts w:ascii="Arial" w:cs="Arial" w:eastAsia="Arial" w:hAnsi="Arial"/>
          <w:sz w:val="22"/>
          <w:szCs w:val="22"/>
        </w:rPr>
        <w:t xml:space="preserve">Approximately 60–80 participants (30–40 per arm), powered to detect a clinically meaningful between-group difference in ADHD-RS-5 score. Active study period approximately 18 months including recruitment, treatment, and follow-up.</w:t>
      </w:r>
    </w:p>
    <w:p>
      <w:pPr>
        <w:pStyle w:val="Heading1"/>
      </w:pPr>
      <w:r>
        <w:t xml:space="preserve">8. Summary: The Validation Pathway at a Glance</w:t>
      </w:r>
    </w:p>
    <w:p>
      <w:pPr>
        <w:pStyle w:val="ListParagraph"/>
        <w:numPr>
          <w:ilvl w:val="0"/>
          <w:numId w:val="2"/>
        </w:numPr>
        <w:spacing w:after="120"/>
      </w:pPr>
      <w:r>
        <w:rPr>
          <w:rFonts w:ascii="Arial" w:cs="Arial" w:eastAsia="Arial" w:hAnsi="Arial"/>
          <w:b/>
          <w:bCs/>
          <w:sz w:val="22"/>
          <w:szCs w:val="22"/>
        </w:rPr>
        <w:t xml:space="preserve">Step 1 — Receptor binding (months 1–10): </w:t>
      </w:r>
      <w:r>
        <w:rPr>
          <w:rFonts w:ascii="Arial" w:cs="Arial" w:eastAsia="Arial" w:hAnsi="Arial"/>
          <w:sz w:val="22"/>
          <w:szCs w:val="22"/>
        </w:rPr>
        <w:t xml:space="preserve">Does the analog hit the right receptors and miss the wrong ones? Lab only. Binary result.</w:t>
      </w:r>
    </w:p>
    <w:p>
      <w:pPr>
        <w:pStyle w:val="ListParagraph"/>
        <w:numPr>
          <w:ilvl w:val="0"/>
          <w:numId w:val="2"/>
        </w:numPr>
        <w:spacing w:after="120"/>
      </w:pPr>
      <w:r>
        <w:rPr>
          <w:rFonts w:ascii="Arial" w:cs="Arial" w:eastAsia="Arial" w:hAnsi="Arial"/>
          <w:b/>
          <w:bCs/>
          <w:sz w:val="22"/>
          <w:szCs w:val="22"/>
        </w:rPr>
        <w:t xml:space="preserve">Step 2 — Animal PK and tolerability (months 4–16): </w:t>
      </w:r>
      <w:r>
        <w:rPr>
          <w:rFonts w:ascii="Arial" w:cs="Arial" w:eastAsia="Arial" w:hAnsi="Arial"/>
          <w:sz w:val="22"/>
          <w:szCs w:val="22"/>
        </w:rPr>
        <w:t xml:space="preserve">Is it safe to infuse subcutaneously at target doses? What are the pharmacokinetics? Contextual, not prerequisite.</w:t>
      </w:r>
    </w:p>
    <w:p>
      <w:pPr>
        <w:pStyle w:val="ListParagraph"/>
        <w:numPr>
          <w:ilvl w:val="0"/>
          <w:numId w:val="2"/>
        </w:numPr>
        <w:spacing w:after="120"/>
      </w:pPr>
      <w:r>
        <w:rPr>
          <w:rFonts w:ascii="Arial" w:cs="Arial" w:eastAsia="Arial" w:hAnsi="Arial"/>
          <w:b/>
          <w:bCs/>
          <w:sz w:val="22"/>
          <w:szCs w:val="22"/>
        </w:rPr>
        <w:t xml:space="preserve">Step 3 — Device validation (months 4–14): </w:t>
      </w:r>
      <w:r>
        <w:rPr>
          <w:rFonts w:ascii="Arial" w:cs="Arial" w:eastAsia="Arial" w:hAnsi="Arial"/>
          <w:sz w:val="22"/>
          <w:szCs w:val="22"/>
        </w:rPr>
        <w:t xml:space="preserve">Does the pump, firmware, and caregiver interface work as designed? Engineering and human factors only.</w:t>
      </w:r>
    </w:p>
    <w:p>
      <w:pPr>
        <w:pStyle w:val="ListParagraph"/>
        <w:numPr>
          <w:ilvl w:val="0"/>
          <w:numId w:val="2"/>
        </w:numPr>
        <w:spacing w:after="120"/>
      </w:pPr>
      <w:r>
        <w:rPr>
          <w:rFonts w:ascii="Arial" w:cs="Arial" w:eastAsia="Arial" w:hAnsi="Arial"/>
          <w:b/>
          <w:bCs/>
          <w:sz w:val="22"/>
          <w:szCs w:val="22"/>
        </w:rPr>
        <w:t xml:space="preserve">Step 4 — Phase I human safety (months 18–30): </w:t>
      </w:r>
      <w:r>
        <w:rPr>
          <w:rFonts w:ascii="Arial" w:cs="Arial" w:eastAsia="Arial" w:hAnsi="Arial"/>
          <w:sz w:val="22"/>
          <w:szCs w:val="22"/>
        </w:rPr>
        <w:t xml:space="preserve">Is it safe in humans at target doses? Pharmacokinetics confirmed in a controlled setting. Small sample, healthy volunteers.</w:t>
      </w:r>
    </w:p>
    <w:p>
      <w:pPr>
        <w:pStyle w:val="ListParagraph"/>
        <w:numPr>
          <w:ilvl w:val="0"/>
          <w:numId w:val="2"/>
        </w:numPr>
        <w:spacing w:after="120"/>
      </w:pPr>
      <w:r>
        <w:rPr>
          <w:rFonts w:ascii="Arial" w:cs="Arial" w:eastAsia="Arial" w:hAnsi="Arial"/>
          <w:b/>
          <w:bCs/>
          <w:sz w:val="22"/>
          <w:szCs w:val="22"/>
        </w:rPr>
        <w:t xml:space="preserve">Step 5 — Phase II efficacy (months 32–50): </w:t>
      </w:r>
      <w:r>
        <w:rPr>
          <w:rFonts w:ascii="Arial" w:cs="Arial" w:eastAsia="Arial" w:hAnsi="Arial"/>
          <w:sz w:val="22"/>
          <w:szCs w:val="22"/>
        </w:rPr>
        <w:t xml:space="preserve">Does it actually help ADHD patients? Randomised controlled trial. This is where the idea is proven or not.</w:t>
      </w:r>
    </w:p>
    <w:p>
      <w:pPr>
        <w:spacing w:before="160" w:after="180"/>
        <w:jc w:val="both"/>
      </w:pPr>
      <w:r>
        <w:rPr>
          <w:rFonts w:ascii="Arial" w:cs="Arial" w:eastAsia="Arial" w:hAnsi="Arial"/>
          <w:sz w:val="22"/>
          <w:szCs w:val="22"/>
        </w:rPr>
        <w:t xml:space="preserve">Total estimated timeline from Step 1 commencement to Phase II results: approximately 4 years. The argument for an accelerated pathway means Steps 1, 2, and 3 can run largely in parallel, and Step 4 can be initiated on the basis of Step 1 receptor selectivity data and Step 2 PK and tolerability data alone — without waiting for animal efficacy results that, for the reasons described, are not the primary scientific gatekeepers for this class of compound.</w:t>
      </w:r>
    </w:p>
    <w:p>
      <w:pPr>
        <w:pStyle w:val="Heading1"/>
      </w:pPr>
      <w:r>
        <w:t xml:space="preserve">9. References</w:t>
      </w:r>
    </w:p>
    <w:p>
      <w:pPr>
        <w:pStyle w:val="ListParagraph"/>
        <w:numPr>
          <w:ilvl w:val="0"/>
          <w:numId w:val="2"/>
        </w:numPr>
        <w:spacing w:after="120"/>
      </w:pPr>
      <w:r>
        <w:rPr>
          <w:rFonts w:ascii="Arial" w:cs="Arial" w:eastAsia="Arial" w:hAnsi="Arial"/>
          <w:sz w:val="22"/>
          <w:szCs w:val="22"/>
        </w:rPr>
        <w:t xml:space="preserve">Carbonaro TM, Gatch MB. Neuropharmacology of N,N-dimethyltryptamine. Brain Res Bull. 2016;126:74–88.</w:t>
      </w:r>
    </w:p>
    <w:p>
      <w:pPr>
        <w:pStyle w:val="ListParagraph"/>
        <w:numPr>
          <w:ilvl w:val="0"/>
          <w:numId w:val="2"/>
        </w:numPr>
        <w:spacing w:after="120"/>
      </w:pPr>
      <w:r>
        <w:rPr>
          <w:rFonts w:ascii="Arial" w:cs="Arial" w:eastAsia="Arial" w:hAnsi="Arial"/>
          <w:sz w:val="22"/>
          <w:szCs w:val="22"/>
        </w:rPr>
        <w:t xml:space="preserve">Olson DE, et al. Psychoplastogens: A promising class of plasticity-promoting neurotherapeutics. J Neurosci. 2018;38(36):7689–7698.</w:t>
      </w:r>
    </w:p>
    <w:p>
      <w:pPr>
        <w:pStyle w:val="ListParagraph"/>
        <w:numPr>
          <w:ilvl w:val="0"/>
          <w:numId w:val="2"/>
        </w:numPr>
        <w:spacing w:after="120"/>
      </w:pPr>
      <w:r>
        <w:rPr>
          <w:rFonts w:ascii="Arial" w:cs="Arial" w:eastAsia="Arial" w:hAnsi="Arial"/>
          <w:sz w:val="22"/>
          <w:szCs w:val="22"/>
        </w:rPr>
        <w:t xml:space="preserve">Fontanilla D, et al. The hallucinogen N,N-dimethyltryptamine is an endogenous sigma-1 receptor regulator. Science. 2009;323(5916):934–937.</w:t>
      </w:r>
    </w:p>
    <w:p>
      <w:pPr>
        <w:pStyle w:val="ListParagraph"/>
        <w:numPr>
          <w:ilvl w:val="0"/>
          <w:numId w:val="2"/>
        </w:numPr>
        <w:spacing w:after="120"/>
      </w:pPr>
      <w:r>
        <w:rPr>
          <w:rFonts w:ascii="Arial" w:cs="Arial" w:eastAsia="Arial" w:hAnsi="Arial"/>
          <w:sz w:val="22"/>
          <w:szCs w:val="22"/>
        </w:rPr>
        <w:t xml:space="preserve">Rutigliano G, et al. Trace amine associated receptor 1 (TAAR1) as a new target for CNS disorders. Neuroscience. 2017;342:168–181.</w:t>
      </w:r>
    </w:p>
    <w:p>
      <w:pPr>
        <w:pStyle w:val="ListParagraph"/>
        <w:numPr>
          <w:ilvl w:val="0"/>
          <w:numId w:val="2"/>
        </w:numPr>
        <w:spacing w:after="120"/>
      </w:pPr>
      <w:r>
        <w:rPr>
          <w:rFonts w:ascii="Arial" w:cs="Arial" w:eastAsia="Arial" w:hAnsi="Arial"/>
          <w:sz w:val="22"/>
          <w:szCs w:val="22"/>
        </w:rPr>
        <w:t xml:space="preserve">Faraone SV, et al. The World Federation of ADHD International Consensus Statement. Neurosci Biobehav Rev. 2021;128:789–818.</w:t>
      </w:r>
    </w:p>
    <w:p>
      <w:pPr>
        <w:pStyle w:val="ListParagraph"/>
        <w:numPr>
          <w:ilvl w:val="0"/>
          <w:numId w:val="2"/>
        </w:numPr>
        <w:spacing w:after="120"/>
      </w:pPr>
      <w:r>
        <w:rPr>
          <w:rFonts w:ascii="Arial" w:cs="Arial" w:eastAsia="Arial" w:hAnsi="Arial"/>
          <w:sz w:val="22"/>
          <w:szCs w:val="22"/>
        </w:rPr>
        <w:t xml:space="preserve">Nutt DJ, et al. Drug harms in the UK: a multicriteria decision analysis. Lancet. 2010;376(9752):1558–1565.</w:t>
      </w:r>
    </w:p>
    <w:p>
      <w:pPr>
        <w:pStyle w:val="ListParagraph"/>
        <w:numPr>
          <w:ilvl w:val="0"/>
          <w:numId w:val="2"/>
        </w:numPr>
        <w:spacing w:after="120"/>
      </w:pPr>
      <w:r>
        <w:rPr>
          <w:rFonts w:ascii="Arial" w:cs="Arial" w:eastAsia="Arial" w:hAnsi="Arial"/>
          <w:sz w:val="22"/>
          <w:szCs w:val="22"/>
        </w:rPr>
        <w:t xml:space="preserve">Szigeti B, et al. Self-blinding citizen science to explore psychedelic microdosing. eLife. 2021;10:e62878.</w:t>
      </w:r>
    </w:p>
    <w:p>
      <w:pPr>
        <w:pStyle w:val="ListParagraph"/>
        <w:numPr>
          <w:ilvl w:val="0"/>
          <w:numId w:val="2"/>
        </w:numPr>
        <w:spacing w:after="120"/>
      </w:pPr>
      <w:r>
        <w:rPr>
          <w:rFonts w:ascii="Arial" w:cs="Arial" w:eastAsia="Arial" w:hAnsi="Arial"/>
          <w:sz w:val="22"/>
          <w:szCs w:val="22"/>
        </w:rPr>
        <w:t xml:space="preserve">U.S. Food and Drug Administration. Cybersecurity in Medical Devices: Quality System Considerations. 2023.</w:t>
      </w:r>
    </w:p>
    <w:p>
      <w:pPr>
        <w:pBdr>
          <w:top w:val="single" w:color="1F3864" w:sz="4" w:space="1"/>
        </w:pBdr>
        <w:spacing w:before="480"/>
      </w:pPr>
    </w:p>
    <w:p>
      <w:pPr>
        <w:spacing w:before="200"/>
        <w:jc w:val="center"/>
      </w:pPr>
      <w:r>
        <w:rPr>
          <w:rFonts w:ascii="Arial" w:cs="Arial" w:eastAsia="Arial" w:hAnsi="Arial"/>
          <w:b/>
          <w:bCs/>
          <w:color w:val="1F3864"/>
          <w:sz w:val="24"/>
          <w:szCs w:val="24"/>
        </w:rPr>
        <w:t xml:space="preserve">Craig Huckerby</w:t>
      </w:r>
    </w:p>
    <w:p>
      <w:pPr>
        <w:spacing w:before="60"/>
        <w:jc w:val="center"/>
      </w:pPr>
      <w:r>
        <w:rPr>
          <w:rFonts w:ascii="Arial" w:cs="Arial" w:eastAsia="Arial" w:hAnsi="Arial"/>
          <w:i/>
          <w:iCs/>
          <w:color w:val="666666"/>
          <w:sz w:val="20"/>
          <w:szCs w:val="20"/>
        </w:rPr>
        <w:t xml:space="preserve">Author  |  March 2026</w:t>
      </w:r>
    </w:p>
    <w:p>
      <w:pPr>
        <w:spacing w:before="40"/>
        <w:jc w:val="center"/>
      </w:pPr>
      <w:r>
        <w:rPr>
          <w:rFonts w:ascii="Arial" w:cs="Arial" w:eastAsia="Arial" w:hAnsi="Arial"/>
          <w:i/>
          <w:iCs/>
          <w:color w:val="999999"/>
          <w:sz w:val="18"/>
          <w:szCs w:val="18"/>
        </w:rPr>
        <w:t xml:space="preserve">Preliminary Research Proposal — Not for Distribution</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3864" w:sz="6" w:space="1"/>
      </w:pBdr>
      <w:tabs>
        <w:tab w:val="right" w:pos="9360"/>
      </w:tabs>
    </w:pPr>
    <w:r>
      <w:rPr>
        <w:rFonts w:ascii="Arial" w:cs="Arial" w:eastAsia="Arial" w:hAnsi="Arial"/>
        <w:color w:val="555555"/>
        <w:sz w:val="18"/>
        <w:szCs w:val="18"/>
      </w:rPr>
      <w:t xml:space="preserve">Craig Huckerby  |  Validation Framework — DMT Analog ADHD System</w:t>
    </w:r>
    <w:r>
      <w:rPr>
        <w:rFonts w:ascii="Arial" w:cs="Arial" w:eastAsia="Arial" w:hAnsi="Arial"/>
        <w:color w:val="555555"/>
        <w:sz w:val="18"/>
        <w:szCs w:val="18"/>
      </w:rPr>
      <w:t xml:space="preserve">	Page </w:t>
    </w:r>
    <w:r>
      <w:rPr>
        <w:rFonts w:ascii="Arial" w:cs="Arial" w:eastAsia="Arial" w:hAnsi="Arial"/>
        <w:color w:val="555555"/>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3864" w:sz="6" w:space="1"/>
      </w:pBdr>
    </w:pPr>
    <w:r>
      <w:rPr>
        <w:rFonts w:ascii="Arial" w:cs="Arial" w:eastAsia="Arial" w:hAnsi="Arial"/>
        <w:color w:val="555555"/>
        <w:sz w:val="18"/>
        <w:szCs w:val="18"/>
      </w:rPr>
      <w:t xml:space="preserve">VALIDATION PROPOSAL — CONFIDENTIAL DRAFT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Arial" w:cs="Arial" w:eastAsia="Arial" w:hAnsi="Arial"/>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1F3864"/>
      <w:sz w:val="28"/>
      <w:szCs w:val="28"/>
    </w:rPr>
  </w:style>
  <w:style w:type="paragraph" w:styleId="Heading2">
    <w:name w:val="Heading 2"/>
    <w:basedOn w:val="Normal"/>
    <w:next w:val="Normal"/>
    <w:qFormat/>
    <w:pPr>
      <w:spacing w:before="240" w:after="120"/>
      <w:outlineLvl w:val="1"/>
    </w:pPr>
    <w:rPr>
      <w:rFonts w:ascii="Arial" w:cs="Arial" w:eastAsia="Arial" w:hAnsi="Arial"/>
      <w:b/>
      <w:bCs/>
      <w:color w:val="2E5F8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2026-03-07T12:52:39.406Z</dcterms:created>
  <dcterms:modified xsi:type="dcterms:W3CDTF">2026-03-07T12:52:39.407Z</dcterms:modified>
</cp:coreProperties>
</file>

<file path=docProps/custom.xml><?xml version="1.0" encoding="utf-8"?>
<Properties xmlns="http://schemas.openxmlformats.org/officeDocument/2006/custom-properties" xmlns:vt="http://schemas.openxmlformats.org/officeDocument/2006/docPropsVTypes"/>
</file>