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0D4F" w14:textId="77777777" w:rsidR="003B6BC7" w:rsidRDefault="003B6BC7">
      <w:pPr>
        <w:pStyle w:val="Heading1"/>
        <w:rPr>
          <w:rFonts w:eastAsia="Times New Roman"/>
        </w:rPr>
      </w:pPr>
      <w:r>
        <w:rPr>
          <w:rFonts w:eastAsia="Times New Roman"/>
        </w:rPr>
        <w:t>Mediation, Abuse &amp; Custody in Family Law: A Policy &amp; Practice Guide</w:t>
      </w:r>
    </w:p>
    <w:p w14:paraId="76C99033" w14:textId="77777777" w:rsidR="003B6BC7" w:rsidRDefault="003B6BC7">
      <w:pPr>
        <w:pStyle w:val="NormalWeb"/>
      </w:pPr>
      <w:r>
        <w:t>For Legal Fellows, Interns, and Advocates at Mommy’s Heart</w:t>
      </w:r>
    </w:p>
    <w:p w14:paraId="2DADE213" w14:textId="012BCBD5" w:rsidR="003B6BC7" w:rsidRDefault="003B6BC7">
      <w:pPr>
        <w:rPr>
          <w:rFonts w:eastAsia="Times New Roman"/>
        </w:rPr>
      </w:pPr>
    </w:p>
    <w:p w14:paraId="02C6BBD0" w14:textId="77777777" w:rsidR="003B6BC7" w:rsidRDefault="003B6BC7">
      <w:pPr>
        <w:pStyle w:val="Heading2"/>
        <w:rPr>
          <w:rFonts w:eastAsia="Times New Roman"/>
        </w:rPr>
      </w:pPr>
      <w:r>
        <w:rPr>
          <w:rFonts w:eastAsia="Times New Roman"/>
        </w:rPr>
        <w:t>Table of Contents</w:t>
      </w:r>
    </w:p>
    <w:p w14:paraId="1D1FC3ED" w14:textId="77777777" w:rsidR="003B6BC7" w:rsidRDefault="003B6BC7">
      <w:pPr>
        <w:pStyle w:val="NormalWeb"/>
        <w:numPr>
          <w:ilvl w:val="0"/>
          <w:numId w:val="1"/>
        </w:numPr>
      </w:pPr>
      <w:r>
        <w:t>Executive Summary</w:t>
      </w:r>
    </w:p>
    <w:p w14:paraId="66AC18C4" w14:textId="77777777" w:rsidR="003B6BC7" w:rsidRDefault="003B6BC7">
      <w:pPr>
        <w:pStyle w:val="NormalWeb"/>
        <w:numPr>
          <w:ilvl w:val="0"/>
          <w:numId w:val="1"/>
        </w:numPr>
      </w:pPr>
      <w:r>
        <w:t>Key Definitions</w:t>
      </w:r>
    </w:p>
    <w:p w14:paraId="733EF47C" w14:textId="77777777" w:rsidR="003B6BC7" w:rsidRDefault="003B6BC7">
      <w:pPr>
        <w:pStyle w:val="NormalWeb"/>
        <w:numPr>
          <w:ilvl w:val="0"/>
          <w:numId w:val="1"/>
        </w:numPr>
      </w:pPr>
      <w:r>
        <w:t>Legal Framework: Parental Rights, TPR &amp; Article 10 (NYC)</w:t>
      </w:r>
    </w:p>
    <w:p w14:paraId="51363EB8" w14:textId="77777777" w:rsidR="003B6BC7" w:rsidRDefault="003B6BC7">
      <w:pPr>
        <w:pStyle w:val="NormalWeb"/>
        <w:numPr>
          <w:ilvl w:val="0"/>
          <w:numId w:val="1"/>
        </w:numPr>
      </w:pPr>
      <w:r>
        <w:t>Allegations of Child Sexual Abuse: Termination, Supervision &amp; Treatment</w:t>
      </w:r>
    </w:p>
    <w:p w14:paraId="2910F47C" w14:textId="77777777" w:rsidR="003B6BC7" w:rsidRDefault="003B6BC7">
      <w:pPr>
        <w:pStyle w:val="NormalWeb"/>
        <w:numPr>
          <w:ilvl w:val="0"/>
          <w:numId w:val="1"/>
        </w:numPr>
      </w:pPr>
      <w:r>
        <w:t>Investigation Process: CPS, Mandated Reporters &amp; Private Allegations</w:t>
      </w:r>
    </w:p>
    <w:p w14:paraId="0A7FF225" w14:textId="77777777" w:rsidR="003B6BC7" w:rsidRDefault="003B6BC7">
      <w:pPr>
        <w:pStyle w:val="NormalWeb"/>
        <w:numPr>
          <w:ilvl w:val="0"/>
          <w:numId w:val="1"/>
        </w:numPr>
      </w:pPr>
      <w:r>
        <w:t>State-by-State Survey: Selected States &amp; National Resource</w:t>
      </w:r>
    </w:p>
    <w:p w14:paraId="697938A6" w14:textId="77777777" w:rsidR="003B6BC7" w:rsidRDefault="003B6BC7">
      <w:pPr>
        <w:pStyle w:val="NormalWeb"/>
        <w:numPr>
          <w:ilvl w:val="0"/>
          <w:numId w:val="1"/>
        </w:numPr>
      </w:pPr>
      <w:r>
        <w:t>Court Tools: TROs, Supervised Visitation &amp; Safety Plans</w:t>
      </w:r>
    </w:p>
    <w:p w14:paraId="6A7F35E2" w14:textId="77777777" w:rsidR="003B6BC7" w:rsidRDefault="003B6BC7">
      <w:pPr>
        <w:pStyle w:val="NormalWeb"/>
        <w:numPr>
          <w:ilvl w:val="0"/>
          <w:numId w:val="1"/>
        </w:numPr>
      </w:pPr>
      <w:r>
        <w:t>Mediation in Abuse</w:t>
      </w:r>
      <w:r>
        <w:noBreakHyphen/>
        <w:t>Impacted Cases: Benefits &amp; Limits</w:t>
      </w:r>
    </w:p>
    <w:p w14:paraId="2D43096D" w14:textId="77777777" w:rsidR="003B6BC7" w:rsidRDefault="003B6BC7">
      <w:pPr>
        <w:pStyle w:val="NormalWeb"/>
        <w:numPr>
          <w:ilvl w:val="0"/>
          <w:numId w:val="1"/>
        </w:numPr>
      </w:pPr>
      <w:r>
        <w:t>Parental Alienation vs. Credible Fear</w:t>
      </w:r>
    </w:p>
    <w:p w14:paraId="7FCD6AC4" w14:textId="77777777" w:rsidR="003B6BC7" w:rsidRDefault="003B6BC7">
      <w:pPr>
        <w:pStyle w:val="NormalWeb"/>
        <w:numPr>
          <w:ilvl w:val="0"/>
          <w:numId w:val="1"/>
        </w:numPr>
      </w:pPr>
      <w:r>
        <w:t>Child Refusal &amp; Court Interpretation</w:t>
      </w:r>
    </w:p>
    <w:p w14:paraId="0685EF0C" w14:textId="77777777" w:rsidR="003B6BC7" w:rsidRDefault="003B6BC7">
      <w:pPr>
        <w:pStyle w:val="NormalWeb"/>
        <w:numPr>
          <w:ilvl w:val="0"/>
          <w:numId w:val="1"/>
        </w:numPr>
      </w:pPr>
      <w:r>
        <w:t>National Trends &amp; Family Law Reform</w:t>
      </w:r>
    </w:p>
    <w:p w14:paraId="5B304CFD" w14:textId="77777777" w:rsidR="003B6BC7" w:rsidRDefault="003B6BC7">
      <w:pPr>
        <w:pStyle w:val="NormalWeb"/>
        <w:numPr>
          <w:ilvl w:val="0"/>
          <w:numId w:val="1"/>
        </w:numPr>
      </w:pPr>
      <w:r>
        <w:t>Supporting Survivor Parents: Practical Tools</w:t>
      </w:r>
    </w:p>
    <w:p w14:paraId="67067780" w14:textId="77777777" w:rsidR="003B6BC7" w:rsidRDefault="003B6BC7">
      <w:pPr>
        <w:pStyle w:val="NormalWeb"/>
        <w:numPr>
          <w:ilvl w:val="0"/>
          <w:numId w:val="1"/>
        </w:numPr>
      </w:pPr>
      <w:r>
        <w:t>Red Flags: When Mediation is Not Appropriate</w:t>
      </w:r>
    </w:p>
    <w:p w14:paraId="7E23516C" w14:textId="77777777" w:rsidR="003B6BC7" w:rsidRDefault="003B6BC7">
      <w:pPr>
        <w:pStyle w:val="NormalWeb"/>
        <w:numPr>
          <w:ilvl w:val="0"/>
          <w:numId w:val="1"/>
        </w:numPr>
      </w:pPr>
      <w:r>
        <w:t>Practice Checklists &amp; Intake Tools</w:t>
      </w:r>
    </w:p>
    <w:p w14:paraId="2BF799F7" w14:textId="77777777" w:rsidR="003B6BC7" w:rsidRDefault="003B6BC7">
      <w:pPr>
        <w:pStyle w:val="NormalWeb"/>
        <w:numPr>
          <w:ilvl w:val="0"/>
          <w:numId w:val="1"/>
        </w:numPr>
      </w:pPr>
      <w:r>
        <w:t>Suggested Reading &amp; Research</w:t>
      </w:r>
    </w:p>
    <w:p w14:paraId="54DA6AA0" w14:textId="10DA6579" w:rsidR="003B6BC7" w:rsidRDefault="003B6BC7">
      <w:pPr>
        <w:rPr>
          <w:rFonts w:eastAsia="Times New Roman"/>
        </w:rPr>
      </w:pPr>
    </w:p>
    <w:p w14:paraId="5A396A6B" w14:textId="77777777" w:rsidR="003B6BC7" w:rsidRDefault="003B6BC7">
      <w:pPr>
        <w:pStyle w:val="Heading2"/>
        <w:rPr>
          <w:rFonts w:eastAsia="Times New Roman"/>
        </w:rPr>
      </w:pPr>
      <w:r>
        <w:rPr>
          <w:rFonts w:eastAsia="Times New Roman"/>
        </w:rPr>
        <w:t>1. Executive Summary</w:t>
      </w:r>
    </w:p>
    <w:p w14:paraId="67B47318" w14:textId="11A36DD3" w:rsidR="003B6BC7" w:rsidRDefault="003B6BC7">
      <w:pPr>
        <w:pStyle w:val="NormalWeb"/>
      </w:pPr>
      <w:r>
        <w:t>This guide is intended as a comprehensive reference for legal fellows, interns, and nonprofit advocates at Mommy’s Heart. It addresses how courts and child welfare systems handle allegations of abuse</w:t>
      </w:r>
      <w:r w:rsidR="00E41C73">
        <w:t xml:space="preserve"> </w:t>
      </w:r>
      <w:r>
        <w:t>including child sexual abuse</w:t>
      </w:r>
      <w:r w:rsidR="00E41C73">
        <w:t xml:space="preserve"> </w:t>
      </w:r>
      <w:r>
        <w:t>in custody and parental rights contexts, and presents mediation and structured interventions as alternatives in many cases. Key points:</w:t>
      </w:r>
    </w:p>
    <w:p w14:paraId="10B052F6" w14:textId="77777777" w:rsidR="003B6BC7" w:rsidRDefault="003B6BC7">
      <w:pPr>
        <w:pStyle w:val="NormalWeb"/>
        <w:numPr>
          <w:ilvl w:val="0"/>
          <w:numId w:val="2"/>
        </w:numPr>
      </w:pPr>
      <w:r>
        <w:rPr>
          <w:rStyle w:val="Strong"/>
        </w:rPr>
        <w:t>Allegations or findings</w:t>
      </w:r>
      <w:r>
        <w:t xml:space="preserve"> of child sexual abuse do </w:t>
      </w:r>
      <w:r>
        <w:rPr>
          <w:rStyle w:val="Emphasis"/>
        </w:rPr>
        <w:t>not</w:t>
      </w:r>
      <w:r>
        <w:t xml:space="preserve"> automatically lead to termination of parental rights (TPR); courts typically implement </w:t>
      </w:r>
      <w:r>
        <w:rPr>
          <w:rStyle w:val="Strong"/>
        </w:rPr>
        <w:t>supervision, treatment, and safety plans</w:t>
      </w:r>
      <w:r>
        <w:t xml:space="preserve"> first.</w:t>
      </w:r>
    </w:p>
    <w:p w14:paraId="576B68C7" w14:textId="77777777" w:rsidR="003B6BC7" w:rsidRDefault="003B6BC7">
      <w:pPr>
        <w:pStyle w:val="NormalWeb"/>
        <w:numPr>
          <w:ilvl w:val="0"/>
          <w:numId w:val="2"/>
        </w:numPr>
      </w:pPr>
      <w:r>
        <w:lastRenderedPageBreak/>
        <w:t xml:space="preserve">In New York City, </w:t>
      </w:r>
      <w:r>
        <w:rPr>
          <w:rStyle w:val="Strong"/>
        </w:rPr>
        <w:t>Article 10 family court</w:t>
      </w:r>
      <w:r>
        <w:t xml:space="preserve"> handles child protective and abuse/neglect proceedings, distinct from private custody litigation.</w:t>
      </w:r>
    </w:p>
    <w:p w14:paraId="4E9F8A16" w14:textId="77777777" w:rsidR="003B6BC7" w:rsidRDefault="003B6BC7">
      <w:pPr>
        <w:pStyle w:val="NormalWeb"/>
        <w:numPr>
          <w:ilvl w:val="0"/>
          <w:numId w:val="2"/>
        </w:numPr>
      </w:pPr>
      <w:r>
        <w:t>Across jurisdictions, statutes differ—some states require conviction for TPR, others permit TPR or restrictions based on clear and convincing evidence without conviction.</w:t>
      </w:r>
    </w:p>
    <w:p w14:paraId="59814821" w14:textId="77777777" w:rsidR="003B6BC7" w:rsidRDefault="003B6BC7">
      <w:pPr>
        <w:pStyle w:val="NormalWeb"/>
        <w:numPr>
          <w:ilvl w:val="0"/>
          <w:numId w:val="2"/>
        </w:numPr>
      </w:pPr>
      <w:r>
        <w:t>Mediation, when conducted under trauma-informed, safety-structured models, can offer a less adversarial, cost-effective pathway where risk can be managed.</w:t>
      </w:r>
    </w:p>
    <w:p w14:paraId="4FB90788" w14:textId="77777777" w:rsidR="003B6BC7" w:rsidRDefault="003B6BC7">
      <w:pPr>
        <w:pStyle w:val="NormalWeb"/>
        <w:numPr>
          <w:ilvl w:val="0"/>
          <w:numId w:val="2"/>
        </w:numPr>
      </w:pPr>
      <w:r>
        <w:t xml:space="preserve">Courts and policies increasingly emphasize </w:t>
      </w:r>
      <w:r>
        <w:rPr>
          <w:rStyle w:val="Strong"/>
        </w:rPr>
        <w:t>child safety, trauma awareness, secondary exposure to violence, and judicial discretion</w:t>
      </w:r>
      <w:r>
        <w:t xml:space="preserve"> over rigid contact presumptions.</w:t>
      </w:r>
    </w:p>
    <w:p w14:paraId="0862DBAE" w14:textId="5B8817B5" w:rsidR="003B6BC7" w:rsidRDefault="003B6BC7">
      <w:pPr>
        <w:rPr>
          <w:rFonts w:eastAsia="Times New Roman"/>
        </w:rPr>
      </w:pPr>
    </w:p>
    <w:p w14:paraId="53924B92" w14:textId="77777777" w:rsidR="003B6BC7" w:rsidRDefault="003B6BC7">
      <w:pPr>
        <w:pStyle w:val="Heading2"/>
        <w:rPr>
          <w:rFonts w:eastAsia="Times New Roman"/>
        </w:rPr>
      </w:pPr>
      <w:r>
        <w:rPr>
          <w:rFonts w:eastAsia="Times New Roman"/>
        </w:rPr>
        <w:t>2. Key Definitions</w:t>
      </w:r>
    </w:p>
    <w:p w14:paraId="2E6A0412" w14:textId="77777777" w:rsidR="003B6BC7" w:rsidRDefault="003B6BC7">
      <w:pPr>
        <w:pStyle w:val="NormalWeb"/>
        <w:numPr>
          <w:ilvl w:val="0"/>
          <w:numId w:val="3"/>
        </w:numPr>
      </w:pPr>
      <w:r>
        <w:rPr>
          <w:rStyle w:val="Strong"/>
        </w:rPr>
        <w:t>TPR (Termination of Parental Rights):</w:t>
      </w:r>
      <w:r>
        <w:t xml:space="preserve"> Legal severance of the parent-child relationship</w:t>
      </w:r>
    </w:p>
    <w:p w14:paraId="342AECD3" w14:textId="77777777" w:rsidR="003B6BC7" w:rsidRDefault="003B6BC7">
      <w:pPr>
        <w:pStyle w:val="NormalWeb"/>
        <w:numPr>
          <w:ilvl w:val="0"/>
          <w:numId w:val="3"/>
        </w:numPr>
      </w:pPr>
      <w:r>
        <w:rPr>
          <w:rStyle w:val="Strong"/>
        </w:rPr>
        <w:t>TRO (Temporary Restraining Order):</w:t>
      </w:r>
      <w:r>
        <w:t xml:space="preserve"> Court order limiting contact during litigation</w:t>
      </w:r>
    </w:p>
    <w:p w14:paraId="6DCC1CA9" w14:textId="77777777" w:rsidR="003B6BC7" w:rsidRDefault="003B6BC7">
      <w:pPr>
        <w:pStyle w:val="NormalWeb"/>
        <w:numPr>
          <w:ilvl w:val="0"/>
          <w:numId w:val="3"/>
        </w:numPr>
      </w:pPr>
      <w:r>
        <w:rPr>
          <w:rStyle w:val="Strong"/>
        </w:rPr>
        <w:t>Custodial Parent (CP):</w:t>
      </w:r>
      <w:r>
        <w:t xml:space="preserve"> Parent with primary physical/legal custody</w:t>
      </w:r>
    </w:p>
    <w:p w14:paraId="4A748092" w14:textId="77777777" w:rsidR="003B6BC7" w:rsidRDefault="003B6BC7">
      <w:pPr>
        <w:pStyle w:val="NormalWeb"/>
        <w:numPr>
          <w:ilvl w:val="0"/>
          <w:numId w:val="3"/>
        </w:numPr>
      </w:pPr>
      <w:r>
        <w:rPr>
          <w:rStyle w:val="Strong"/>
        </w:rPr>
        <w:t>Noncustodial Parent (NCP):</w:t>
      </w:r>
      <w:r>
        <w:t xml:space="preserve"> Parent seeking access or visitation</w:t>
      </w:r>
    </w:p>
    <w:p w14:paraId="72754092" w14:textId="77777777" w:rsidR="003B6BC7" w:rsidRDefault="003B6BC7">
      <w:pPr>
        <w:pStyle w:val="NormalWeb"/>
        <w:numPr>
          <w:ilvl w:val="0"/>
          <w:numId w:val="3"/>
        </w:numPr>
      </w:pPr>
      <w:r>
        <w:rPr>
          <w:rStyle w:val="Strong"/>
        </w:rPr>
        <w:t>Mandated Reporter:</w:t>
      </w:r>
      <w:r>
        <w:t xml:space="preserve"> Professional required by law to report suspected child abuse</w:t>
      </w:r>
    </w:p>
    <w:p w14:paraId="173B1196" w14:textId="77777777" w:rsidR="003B6BC7" w:rsidRDefault="003B6BC7">
      <w:pPr>
        <w:pStyle w:val="NormalWeb"/>
        <w:numPr>
          <w:ilvl w:val="0"/>
          <w:numId w:val="3"/>
        </w:numPr>
      </w:pPr>
      <w:r>
        <w:rPr>
          <w:rStyle w:val="Strong"/>
        </w:rPr>
        <w:t>Supervised Visitation:</w:t>
      </w:r>
      <w:r>
        <w:t xml:space="preserve"> Court-ordered visits with oversight to safeguard the child</w:t>
      </w:r>
    </w:p>
    <w:p w14:paraId="501E5439" w14:textId="77777777" w:rsidR="003B6BC7" w:rsidRDefault="003B6BC7">
      <w:pPr>
        <w:pStyle w:val="NormalWeb"/>
        <w:numPr>
          <w:ilvl w:val="0"/>
          <w:numId w:val="3"/>
        </w:numPr>
      </w:pPr>
      <w:r>
        <w:rPr>
          <w:rStyle w:val="Strong"/>
        </w:rPr>
        <w:t>Article 10 (NYC):</w:t>
      </w:r>
      <w:r>
        <w:t xml:space="preserve"> New York’s Family Court jurisdiction over child abuse/neglect cases</w:t>
      </w:r>
    </w:p>
    <w:p w14:paraId="3691F968" w14:textId="77777777" w:rsidR="003B6BC7" w:rsidRDefault="003B6BC7">
      <w:pPr>
        <w:pStyle w:val="NormalWeb"/>
        <w:numPr>
          <w:ilvl w:val="0"/>
          <w:numId w:val="3"/>
        </w:numPr>
      </w:pPr>
      <w:r>
        <w:rPr>
          <w:rStyle w:val="Strong"/>
        </w:rPr>
        <w:t>Secondary Abuse:</w:t>
      </w:r>
      <w:r>
        <w:t xml:space="preserve"> Harm to a child who witnesses or hears violence</w:t>
      </w:r>
    </w:p>
    <w:p w14:paraId="1919D770" w14:textId="77777777" w:rsidR="003B6BC7" w:rsidRDefault="003B6BC7">
      <w:pPr>
        <w:pStyle w:val="NormalWeb"/>
        <w:numPr>
          <w:ilvl w:val="0"/>
          <w:numId w:val="3"/>
        </w:numPr>
      </w:pPr>
      <w:r>
        <w:rPr>
          <w:rStyle w:val="Strong"/>
        </w:rPr>
        <w:t>Parental Alienation:</w:t>
      </w:r>
      <w:r>
        <w:t xml:space="preserve"> Claim that one parent manipulates or influences a child to reject the other parent</w:t>
      </w:r>
    </w:p>
    <w:p w14:paraId="0F6A9033" w14:textId="51927DEA" w:rsidR="003B6BC7" w:rsidRDefault="003B6BC7">
      <w:pPr>
        <w:rPr>
          <w:rFonts w:eastAsia="Times New Roman"/>
        </w:rPr>
      </w:pPr>
    </w:p>
    <w:p w14:paraId="062AA3F6" w14:textId="77777777" w:rsidR="003B6BC7" w:rsidRDefault="003B6BC7">
      <w:pPr>
        <w:pStyle w:val="Heading2"/>
        <w:rPr>
          <w:rFonts w:eastAsia="Times New Roman"/>
        </w:rPr>
      </w:pPr>
      <w:r>
        <w:rPr>
          <w:rFonts w:eastAsia="Times New Roman"/>
        </w:rPr>
        <w:t>3. Legal Framework: Parental Rights, TPR &amp; Article 10 (NYC)</w:t>
      </w:r>
    </w:p>
    <w:p w14:paraId="2CE0C705" w14:textId="77777777" w:rsidR="003B6BC7" w:rsidRDefault="003B6BC7">
      <w:pPr>
        <w:pStyle w:val="NormalWeb"/>
        <w:numPr>
          <w:ilvl w:val="0"/>
          <w:numId w:val="4"/>
        </w:numPr>
      </w:pPr>
      <w:r>
        <w:t xml:space="preserve">The U.S. Supreme Court decision </w:t>
      </w:r>
      <w:proofErr w:type="spellStart"/>
      <w:r>
        <w:rPr>
          <w:rStyle w:val="Emphasis"/>
        </w:rPr>
        <w:t>Santosky</w:t>
      </w:r>
      <w:proofErr w:type="spellEnd"/>
      <w:r>
        <w:rPr>
          <w:rStyle w:val="Emphasis"/>
        </w:rPr>
        <w:t xml:space="preserve"> v. Kramer</w:t>
      </w:r>
      <w:r>
        <w:t xml:space="preserve">, 455 U.S. 745 (1982), held that termination of parental rights requires proof by </w:t>
      </w:r>
      <w:r>
        <w:rPr>
          <w:rStyle w:val="Strong"/>
        </w:rPr>
        <w:t>clear and convincing evidence</w:t>
      </w:r>
      <w:r>
        <w:t>, because parental rights are a fundamental liberty interest. (</w:t>
      </w:r>
      <w:hyperlink r:id="rId5" w:tooltip="Santosky v. Kramer" w:history="1">
        <w:r>
          <w:rPr>
            <w:rStyle w:val="Hyperlink"/>
          </w:rPr>
          <w:t>Wikipedia</w:t>
        </w:r>
      </w:hyperlink>
      <w:r>
        <w:t>)</w:t>
      </w:r>
    </w:p>
    <w:p w14:paraId="463FDC90" w14:textId="77777777" w:rsidR="003B6BC7" w:rsidRDefault="003B6BC7">
      <w:pPr>
        <w:pStyle w:val="NormalWeb"/>
        <w:numPr>
          <w:ilvl w:val="0"/>
          <w:numId w:val="4"/>
        </w:numPr>
      </w:pPr>
      <w:r>
        <w:t xml:space="preserve">In New York, </w:t>
      </w:r>
      <w:r>
        <w:rPr>
          <w:rStyle w:val="Strong"/>
        </w:rPr>
        <w:t>Article 10 of the Family Court Act</w:t>
      </w:r>
      <w:r>
        <w:t xml:space="preserve"> establishes procedures for state intervention in abuse/neglect (CPS petitions), hearing removal, disposition, and potential TPR. (</w:t>
      </w:r>
      <w:hyperlink r:id="rId6" w:tooltip="Legislation - The New York State Senate" w:history="1">
        <w:r>
          <w:rPr>
            <w:rStyle w:val="Hyperlink"/>
          </w:rPr>
          <w:t>New York State Senate</w:t>
        </w:r>
      </w:hyperlink>
      <w:r>
        <w:t>)</w:t>
      </w:r>
    </w:p>
    <w:p w14:paraId="1AFD60AC" w14:textId="77777777" w:rsidR="003B6BC7" w:rsidRDefault="003B6BC7">
      <w:pPr>
        <w:pStyle w:val="NormalWeb"/>
        <w:numPr>
          <w:ilvl w:val="0"/>
          <w:numId w:val="4"/>
        </w:numPr>
      </w:pPr>
      <w:r>
        <w:t>Under Article 10, removal of a child may occur by consent or court order; in emergency cases removal may occur without court order but must be quickly followed by a hearing. (</w:t>
      </w:r>
      <w:hyperlink r:id="rId7" w:tooltip="Family Court Act Article 10, Child Protective Services Part 2, § 1027" w:history="1">
        <w:r>
          <w:rPr>
            <w:rStyle w:val="Hyperlink"/>
          </w:rPr>
          <w:t xml:space="preserve">Stephen </w:t>
        </w:r>
        <w:proofErr w:type="spellStart"/>
        <w:r>
          <w:rPr>
            <w:rStyle w:val="Hyperlink"/>
          </w:rPr>
          <w:t>Bilkis</w:t>
        </w:r>
        <w:proofErr w:type="spellEnd"/>
        <w:r>
          <w:rPr>
            <w:rStyle w:val="Hyperlink"/>
          </w:rPr>
          <w:t xml:space="preserve"> &amp; Associates</w:t>
        </w:r>
      </w:hyperlink>
      <w:r>
        <w:t>)</w:t>
      </w:r>
    </w:p>
    <w:p w14:paraId="05727098" w14:textId="77777777" w:rsidR="003B6BC7" w:rsidRDefault="003B6BC7">
      <w:pPr>
        <w:pStyle w:val="NormalWeb"/>
        <w:numPr>
          <w:ilvl w:val="0"/>
          <w:numId w:val="4"/>
        </w:numPr>
      </w:pPr>
      <w:r>
        <w:t>The court must weigh whether the child can safely remain in the home, whether reasonable efforts were made, and the best interests of the child in making custody or protective decisions. (</w:t>
      </w:r>
      <w:hyperlink r:id="rId8" w:tooltip="Family Court Act Article 10, Child Protective Services Part 2, § 1027" w:history="1">
        <w:r>
          <w:rPr>
            <w:rStyle w:val="Hyperlink"/>
          </w:rPr>
          <w:t xml:space="preserve">Stephen </w:t>
        </w:r>
        <w:proofErr w:type="spellStart"/>
        <w:r>
          <w:rPr>
            <w:rStyle w:val="Hyperlink"/>
          </w:rPr>
          <w:t>Bilkis</w:t>
        </w:r>
        <w:proofErr w:type="spellEnd"/>
        <w:r>
          <w:rPr>
            <w:rStyle w:val="Hyperlink"/>
          </w:rPr>
          <w:t xml:space="preserve"> &amp; Associates</w:t>
        </w:r>
      </w:hyperlink>
      <w:r>
        <w:t>)</w:t>
      </w:r>
    </w:p>
    <w:p w14:paraId="12561CFC" w14:textId="77777777" w:rsidR="003B6BC7" w:rsidRDefault="003B6BC7">
      <w:pPr>
        <w:pStyle w:val="NormalWeb"/>
        <w:numPr>
          <w:ilvl w:val="0"/>
          <w:numId w:val="4"/>
        </w:numPr>
      </w:pPr>
      <w:r>
        <w:t>TPR in New York may follow under Social Services Law / Family Court Act § 384</w:t>
      </w:r>
      <w:r>
        <w:noBreakHyphen/>
        <w:t>b when reunification fails or conditions remain dangerous.</w:t>
      </w:r>
    </w:p>
    <w:p w14:paraId="0CA2B802" w14:textId="1FD9BA74" w:rsidR="003B6BC7" w:rsidRDefault="003B6BC7">
      <w:pPr>
        <w:rPr>
          <w:rFonts w:eastAsia="Times New Roman"/>
        </w:rPr>
      </w:pPr>
    </w:p>
    <w:p w14:paraId="5979CAA4" w14:textId="77777777" w:rsidR="003B6BC7" w:rsidRDefault="003B6BC7">
      <w:pPr>
        <w:pStyle w:val="Heading2"/>
        <w:rPr>
          <w:rFonts w:eastAsia="Times New Roman"/>
        </w:rPr>
      </w:pPr>
      <w:r>
        <w:rPr>
          <w:rFonts w:eastAsia="Times New Roman"/>
        </w:rPr>
        <w:t>4. Allegations of Child Sexual Abuse: Termination, Supervision &amp; Treatment</w:t>
      </w:r>
    </w:p>
    <w:p w14:paraId="305FCBF9" w14:textId="77777777" w:rsidR="003B6BC7" w:rsidRDefault="003B6BC7">
      <w:pPr>
        <w:pStyle w:val="Heading3"/>
        <w:rPr>
          <w:rFonts w:eastAsia="Times New Roman"/>
        </w:rPr>
      </w:pPr>
      <w:r>
        <w:rPr>
          <w:rFonts w:eastAsia="Times New Roman"/>
        </w:rPr>
        <w:t>A. When a Parent Alleges Sexual Abuse (Private Family Law Setting)</w:t>
      </w:r>
    </w:p>
    <w:p w14:paraId="6620D37D" w14:textId="16275CA3" w:rsidR="003B6BC7" w:rsidRDefault="003B6BC7">
      <w:pPr>
        <w:pStyle w:val="NormalWeb"/>
        <w:numPr>
          <w:ilvl w:val="0"/>
          <w:numId w:val="5"/>
        </w:numPr>
      </w:pPr>
      <w:r>
        <w:t>Allegations must be supported by credible evidence beyond mere assertion</w:t>
      </w:r>
      <w:r w:rsidR="000D6425">
        <w:t xml:space="preserve"> </w:t>
      </w:r>
      <w:r>
        <w:t>reports from therapists, medical records, forensic interviews, and mandated reporter statements are particularly persuasive.</w:t>
      </w:r>
    </w:p>
    <w:p w14:paraId="145E5FEB" w14:textId="77777777" w:rsidR="003B6BC7" w:rsidRDefault="003B6BC7">
      <w:pPr>
        <w:pStyle w:val="NormalWeb"/>
        <w:numPr>
          <w:ilvl w:val="0"/>
          <w:numId w:val="5"/>
        </w:numPr>
      </w:pPr>
      <w:r>
        <w:t>Courts may decline to terminate rights without corroboration and instead order supervised visitation, therapeutic plans, or evaluations.</w:t>
      </w:r>
    </w:p>
    <w:p w14:paraId="0392775E" w14:textId="77777777" w:rsidR="003B6BC7" w:rsidRDefault="003B6BC7">
      <w:pPr>
        <w:pStyle w:val="NormalWeb"/>
        <w:numPr>
          <w:ilvl w:val="0"/>
          <w:numId w:val="5"/>
        </w:numPr>
      </w:pPr>
      <w:r>
        <w:t>Courts often scrutinize unsupported allegations, because false or poorly substantiated claims may provoke counterclaims or allegations of alienation.</w:t>
      </w:r>
    </w:p>
    <w:p w14:paraId="24F9FF15" w14:textId="77777777" w:rsidR="003B6BC7" w:rsidRDefault="003B6BC7">
      <w:pPr>
        <w:pStyle w:val="Heading3"/>
        <w:rPr>
          <w:rFonts w:eastAsia="Times New Roman"/>
        </w:rPr>
      </w:pPr>
      <w:r>
        <w:rPr>
          <w:rFonts w:eastAsia="Times New Roman"/>
        </w:rPr>
        <w:t>B. When Abuse Is Substantiated by a State Agency (e.g. CPS / Article 10)</w:t>
      </w:r>
    </w:p>
    <w:p w14:paraId="25BB895E" w14:textId="77777777" w:rsidR="003B6BC7" w:rsidRDefault="003B6BC7">
      <w:pPr>
        <w:pStyle w:val="NormalWeb"/>
        <w:numPr>
          <w:ilvl w:val="0"/>
          <w:numId w:val="6"/>
        </w:numPr>
      </w:pPr>
      <w:r>
        <w:t>A substantiated finding triggers protective interventions: supervised visitation, no-contact orders, safety plans, and evaluations.</w:t>
      </w:r>
    </w:p>
    <w:p w14:paraId="2691B297" w14:textId="77777777" w:rsidR="003B6BC7" w:rsidRDefault="003B6BC7">
      <w:pPr>
        <w:pStyle w:val="NormalWeb"/>
        <w:numPr>
          <w:ilvl w:val="0"/>
          <w:numId w:val="6"/>
        </w:numPr>
      </w:pPr>
      <w:r>
        <w:t>The respondent parent may be placed into treatment, sex offender therapy, or other programming as a condition for continued access.</w:t>
      </w:r>
    </w:p>
    <w:p w14:paraId="3E7D23B9" w14:textId="77777777" w:rsidR="003B6BC7" w:rsidRDefault="003B6BC7">
      <w:pPr>
        <w:pStyle w:val="NormalWeb"/>
        <w:numPr>
          <w:ilvl w:val="0"/>
          <w:numId w:val="6"/>
        </w:numPr>
      </w:pPr>
      <w:r>
        <w:t>The child may receive therapeutic services and evaluation.</w:t>
      </w:r>
    </w:p>
    <w:p w14:paraId="61D03404" w14:textId="77777777" w:rsidR="003B6BC7" w:rsidRDefault="003B6BC7">
      <w:pPr>
        <w:pStyle w:val="NormalWeb"/>
        <w:numPr>
          <w:ilvl w:val="0"/>
          <w:numId w:val="6"/>
        </w:numPr>
      </w:pPr>
      <w:r>
        <w:t>If the respondent fails to comply with court orders, or presents ongoing danger, the system may pursue TPR proceedings.</w:t>
      </w:r>
    </w:p>
    <w:p w14:paraId="0B68660E" w14:textId="77777777" w:rsidR="003B6BC7" w:rsidRDefault="003B6BC7">
      <w:pPr>
        <w:pStyle w:val="NormalWeb"/>
        <w:numPr>
          <w:ilvl w:val="0"/>
          <w:numId w:val="6"/>
        </w:numPr>
      </w:pPr>
      <w:r>
        <w:t>If compliance and progress are documented, restricted or supervised contact may continue rather than immediate severance.</w:t>
      </w:r>
    </w:p>
    <w:p w14:paraId="3F1FF071" w14:textId="77777777" w:rsidR="003B6BC7" w:rsidRDefault="003B6BC7">
      <w:pPr>
        <w:pStyle w:val="Heading3"/>
        <w:rPr>
          <w:rFonts w:eastAsia="Times New Roman"/>
        </w:rPr>
      </w:pPr>
      <w:r>
        <w:rPr>
          <w:rFonts w:eastAsia="Times New Roman"/>
        </w:rPr>
        <w:t>C. When Termination Becomes Likely</w:t>
      </w:r>
    </w:p>
    <w:p w14:paraId="4757F239" w14:textId="77777777" w:rsidR="003B6BC7" w:rsidRDefault="003B6BC7">
      <w:pPr>
        <w:pStyle w:val="NormalWeb"/>
        <w:numPr>
          <w:ilvl w:val="0"/>
          <w:numId w:val="7"/>
        </w:numPr>
      </w:pPr>
      <w:r>
        <w:t>TPR is more likely when:</w:t>
      </w:r>
    </w:p>
    <w:p w14:paraId="13F44003" w14:textId="77777777" w:rsidR="003B6BC7" w:rsidRDefault="003B6BC7">
      <w:pPr>
        <w:pStyle w:val="NormalWeb"/>
        <w:numPr>
          <w:ilvl w:val="1"/>
          <w:numId w:val="7"/>
        </w:numPr>
      </w:pPr>
      <w:r>
        <w:t>There is a criminal conviction of sexual abuse or rape</w:t>
      </w:r>
    </w:p>
    <w:p w14:paraId="1C487B9F" w14:textId="77777777" w:rsidR="003B6BC7" w:rsidRDefault="003B6BC7">
      <w:pPr>
        <w:pStyle w:val="NormalWeb"/>
        <w:numPr>
          <w:ilvl w:val="1"/>
          <w:numId w:val="7"/>
        </w:numPr>
      </w:pPr>
      <w:r>
        <w:t>There is strong, corroborated evidence of abuse</w:t>
      </w:r>
    </w:p>
    <w:p w14:paraId="23BB5602" w14:textId="77777777" w:rsidR="003B6BC7" w:rsidRDefault="003B6BC7">
      <w:pPr>
        <w:pStyle w:val="NormalWeb"/>
        <w:numPr>
          <w:ilvl w:val="1"/>
          <w:numId w:val="7"/>
        </w:numPr>
      </w:pPr>
      <w:r>
        <w:t>The respondent parent fails to comply with therapy or court</w:t>
      </w:r>
      <w:r>
        <w:noBreakHyphen/>
        <w:t>mandated programming</w:t>
      </w:r>
    </w:p>
    <w:p w14:paraId="64DF5CFF" w14:textId="77777777" w:rsidR="003B6BC7" w:rsidRDefault="003B6BC7">
      <w:pPr>
        <w:pStyle w:val="NormalWeb"/>
        <w:numPr>
          <w:ilvl w:val="1"/>
          <w:numId w:val="7"/>
        </w:numPr>
      </w:pPr>
      <w:r>
        <w:t>The child’s safety, emotional or physical health cannot be assured otherwise</w:t>
      </w:r>
    </w:p>
    <w:p w14:paraId="67FF8D68" w14:textId="649298EB" w:rsidR="003B6BC7" w:rsidRDefault="003B6BC7">
      <w:pPr>
        <w:pStyle w:val="NormalWeb"/>
        <w:numPr>
          <w:ilvl w:val="0"/>
          <w:numId w:val="7"/>
        </w:numPr>
      </w:pPr>
      <w:r>
        <w:t>If the parent demonstrates rehabilitation</w:t>
      </w:r>
      <w:r w:rsidR="000D6425">
        <w:t xml:space="preserve"> </w:t>
      </w:r>
      <w:r>
        <w:t>therapeutic progress, no new abuses, consistent compliance</w:t>
      </w:r>
      <w:r w:rsidR="000D6425">
        <w:t xml:space="preserve"> </w:t>
      </w:r>
      <w:r>
        <w:t>supervised access may gradually be expanded rather than full termination.</w:t>
      </w:r>
    </w:p>
    <w:p w14:paraId="51E0C8C4" w14:textId="77777777" w:rsidR="003B6BC7" w:rsidRDefault="003B6BC7">
      <w:pPr>
        <w:pStyle w:val="Heading3"/>
        <w:rPr>
          <w:rFonts w:eastAsia="Times New Roman"/>
        </w:rPr>
      </w:pPr>
      <w:r>
        <w:rPr>
          <w:rFonts w:eastAsia="Times New Roman"/>
        </w:rPr>
        <w:t>D. Case Law Illustrations</w:t>
      </w:r>
    </w:p>
    <w:p w14:paraId="3782D5F4" w14:textId="77777777" w:rsidR="003B6BC7" w:rsidRDefault="003B6BC7">
      <w:pPr>
        <w:pStyle w:val="NormalWeb"/>
        <w:numPr>
          <w:ilvl w:val="0"/>
          <w:numId w:val="8"/>
        </w:numPr>
      </w:pPr>
      <w:r>
        <w:rPr>
          <w:rStyle w:val="Emphasis"/>
        </w:rPr>
        <w:t>Matter of J.A.H.</w:t>
      </w:r>
      <w:r>
        <w:t xml:space="preserve"> (NY): Court denied TPR despite substantiated abuse because the respondent fully complied with treatment and supervision, with no new incidents.</w:t>
      </w:r>
    </w:p>
    <w:p w14:paraId="3156C7CF" w14:textId="77777777" w:rsidR="003B6BC7" w:rsidRDefault="003B6BC7">
      <w:pPr>
        <w:pStyle w:val="NormalWeb"/>
        <w:numPr>
          <w:ilvl w:val="0"/>
          <w:numId w:val="8"/>
        </w:numPr>
      </w:pPr>
      <w:r>
        <w:rPr>
          <w:rStyle w:val="Emphasis"/>
        </w:rPr>
        <w:t>In re Dependency of K.N.</w:t>
      </w:r>
      <w:r>
        <w:t xml:space="preserve"> (WA): TPR reversed where state failed to prove the parent could not rehabilitate, despite abuse history.</w:t>
      </w:r>
    </w:p>
    <w:p w14:paraId="693C25B1" w14:textId="77777777" w:rsidR="003B6BC7" w:rsidRDefault="003B6BC7">
      <w:pPr>
        <w:pStyle w:val="NormalWeb"/>
        <w:numPr>
          <w:ilvl w:val="0"/>
          <w:numId w:val="8"/>
        </w:numPr>
      </w:pPr>
      <w:r>
        <w:rPr>
          <w:rStyle w:val="Emphasis"/>
        </w:rPr>
        <w:t>In re C.W.</w:t>
      </w:r>
      <w:r>
        <w:t xml:space="preserve"> (PA): TPR granted due to repeated sexual abuse and refusal to participate in treatment or evaluations.</w:t>
      </w:r>
    </w:p>
    <w:p w14:paraId="437EDACE" w14:textId="09416571" w:rsidR="003B6BC7" w:rsidRDefault="003B6BC7">
      <w:pPr>
        <w:rPr>
          <w:rFonts w:eastAsia="Times New Roman"/>
        </w:rPr>
      </w:pPr>
    </w:p>
    <w:p w14:paraId="749CF310" w14:textId="77777777" w:rsidR="003B6BC7" w:rsidRDefault="003B6BC7">
      <w:pPr>
        <w:pStyle w:val="Heading2"/>
        <w:rPr>
          <w:rFonts w:eastAsia="Times New Roman"/>
        </w:rPr>
      </w:pPr>
      <w:r>
        <w:rPr>
          <w:rFonts w:eastAsia="Times New Roman"/>
        </w:rPr>
        <w:t>5. Investigation Process: CPS, Mandated Reporters &amp; Private Allegations</w:t>
      </w:r>
    </w:p>
    <w:p w14:paraId="4425B209" w14:textId="77777777" w:rsidR="003B6BC7" w:rsidRDefault="003B6BC7">
      <w:pPr>
        <w:pStyle w:val="NormalWeb"/>
        <w:numPr>
          <w:ilvl w:val="0"/>
          <w:numId w:val="9"/>
        </w:numPr>
      </w:pPr>
      <w:r>
        <w:t>Mandated reporters (teachers, therapists, medical professionals, law enforcement) often initiate CPS investigations.</w:t>
      </w:r>
    </w:p>
    <w:p w14:paraId="752BDB75" w14:textId="77777777" w:rsidR="003B6BC7" w:rsidRDefault="003B6BC7">
      <w:pPr>
        <w:pStyle w:val="NormalWeb"/>
        <w:numPr>
          <w:ilvl w:val="0"/>
          <w:numId w:val="9"/>
        </w:numPr>
      </w:pPr>
      <w:r>
        <w:t>CPS conducts forensic interviews, medical exams, home/school visits, and interviews with collateral witnesses.</w:t>
      </w:r>
    </w:p>
    <w:p w14:paraId="2E8F0FB1" w14:textId="77777777" w:rsidR="003B6BC7" w:rsidRDefault="003B6BC7">
      <w:pPr>
        <w:pStyle w:val="NormalWeb"/>
        <w:numPr>
          <w:ilvl w:val="0"/>
          <w:numId w:val="9"/>
        </w:numPr>
      </w:pPr>
      <w:r>
        <w:t xml:space="preserve">Outcomes may be labeled </w:t>
      </w:r>
      <w:r>
        <w:rPr>
          <w:rStyle w:val="Strong"/>
        </w:rPr>
        <w:t>substantiated</w:t>
      </w:r>
      <w:r>
        <w:t xml:space="preserve">, </w:t>
      </w:r>
      <w:r>
        <w:rPr>
          <w:rStyle w:val="Strong"/>
        </w:rPr>
        <w:t>indicated</w:t>
      </w:r>
      <w:r>
        <w:t xml:space="preserve">, or </w:t>
      </w:r>
      <w:r>
        <w:rPr>
          <w:rStyle w:val="Strong"/>
        </w:rPr>
        <w:t>unsubstantiated</w:t>
      </w:r>
      <w:r>
        <w:t>.</w:t>
      </w:r>
    </w:p>
    <w:p w14:paraId="4159BA44" w14:textId="77777777" w:rsidR="003B6BC7" w:rsidRDefault="003B6BC7">
      <w:pPr>
        <w:pStyle w:val="NormalWeb"/>
        <w:numPr>
          <w:ilvl w:val="0"/>
          <w:numId w:val="9"/>
        </w:numPr>
      </w:pPr>
      <w:r>
        <w:t>CPS findings and mandated reporter documentation carry strong weight in court; private allegations without such backing have lesser weight.</w:t>
      </w:r>
    </w:p>
    <w:p w14:paraId="2A4B88B0" w14:textId="77777777" w:rsidR="003B6BC7" w:rsidRDefault="003B6BC7">
      <w:pPr>
        <w:pStyle w:val="NormalWeb"/>
        <w:numPr>
          <w:ilvl w:val="0"/>
          <w:numId w:val="9"/>
        </w:numPr>
      </w:pPr>
      <w:r>
        <w:t>In Article 10 proceedings, the state (via ACS in NYC) becomes a party, not a private parent, shifting procedural dynamics. (</w:t>
      </w:r>
      <w:hyperlink r:id="rId9" w:tooltip="Representing Clients in Article 10 Cases - Unified Court System" w:history="1">
        <w:r>
          <w:rPr>
            <w:rStyle w:val="Hyperlink"/>
          </w:rPr>
          <w:t>NYCOURTS</w:t>
        </w:r>
      </w:hyperlink>
      <w:r>
        <w:t>)</w:t>
      </w:r>
    </w:p>
    <w:p w14:paraId="2EC79471" w14:textId="77777777" w:rsidR="003B6BC7" w:rsidRDefault="003B6BC7">
      <w:pPr>
        <w:pStyle w:val="NormalWeb"/>
        <w:numPr>
          <w:ilvl w:val="0"/>
          <w:numId w:val="9"/>
        </w:numPr>
      </w:pPr>
      <w:r>
        <w:t>Courts may rely on CPS evaluations, psychological reports, and forensic assessments in family court decision-making (e.g. visitation, custody, TPR).</w:t>
      </w:r>
    </w:p>
    <w:p w14:paraId="399677FC" w14:textId="0F128EA8" w:rsidR="003B6BC7" w:rsidRDefault="003B6BC7">
      <w:pPr>
        <w:rPr>
          <w:rFonts w:eastAsia="Times New Roman"/>
        </w:rPr>
      </w:pPr>
    </w:p>
    <w:p w14:paraId="5C85DC95" w14:textId="77777777" w:rsidR="003B6BC7" w:rsidRDefault="003B6BC7">
      <w:pPr>
        <w:pStyle w:val="Heading2"/>
        <w:rPr>
          <w:rFonts w:eastAsia="Times New Roman"/>
        </w:rPr>
      </w:pPr>
      <w:r>
        <w:rPr>
          <w:rFonts w:eastAsia="Times New Roman"/>
        </w:rPr>
        <w:t>6. State-by-State Survey: Selected States &amp; National Resource</w:t>
      </w:r>
    </w:p>
    <w:p w14:paraId="166C1866" w14:textId="77777777" w:rsidR="003B6BC7" w:rsidRDefault="003B6BC7">
      <w:pPr>
        <w:pStyle w:val="NormalWeb"/>
      </w:pPr>
      <w:r>
        <w:t>Below is a snapshot of how selected states approach TPR, conviction requirements, permitted remedies, and mediation access in cases involving sexual assault or child sexual abuse: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540"/>
        <w:gridCol w:w="1581"/>
        <w:gridCol w:w="2461"/>
        <w:gridCol w:w="2215"/>
      </w:tblGrid>
      <w:tr w:rsidR="003B6BC7" w14:paraId="24E897FC" w14:textId="77777777">
        <w:trPr>
          <w:tblHeader/>
          <w:tblCellSpacing w:w="15" w:type="dxa"/>
        </w:trPr>
        <w:tc>
          <w:tcPr>
            <w:tcW w:w="0" w:type="auto"/>
            <w:vAlign w:val="center"/>
            <w:hideMark/>
          </w:tcPr>
          <w:p w14:paraId="4BF0B37B" w14:textId="77777777" w:rsidR="003B6BC7" w:rsidRDefault="003B6BC7">
            <w:pPr>
              <w:jc w:val="center"/>
              <w:rPr>
                <w:rFonts w:eastAsia="Times New Roman"/>
                <w:b/>
                <w:bCs/>
              </w:rPr>
            </w:pPr>
            <w:r>
              <w:rPr>
                <w:rFonts w:eastAsia="Times New Roman"/>
                <w:b/>
                <w:bCs/>
              </w:rPr>
              <w:t>State</w:t>
            </w:r>
          </w:p>
        </w:tc>
        <w:tc>
          <w:tcPr>
            <w:tcW w:w="0" w:type="auto"/>
            <w:vAlign w:val="center"/>
            <w:hideMark/>
          </w:tcPr>
          <w:p w14:paraId="6C2258E3" w14:textId="77777777" w:rsidR="003B6BC7" w:rsidRDefault="003B6BC7">
            <w:pPr>
              <w:jc w:val="center"/>
              <w:rPr>
                <w:rFonts w:eastAsia="Times New Roman"/>
                <w:b/>
                <w:bCs/>
              </w:rPr>
            </w:pPr>
            <w:r>
              <w:rPr>
                <w:rFonts w:eastAsia="Times New Roman"/>
                <w:b/>
                <w:bCs/>
              </w:rPr>
              <w:t>TPR Allowed for CSA / Rape</w:t>
            </w:r>
          </w:p>
        </w:tc>
        <w:tc>
          <w:tcPr>
            <w:tcW w:w="0" w:type="auto"/>
            <w:vAlign w:val="center"/>
            <w:hideMark/>
          </w:tcPr>
          <w:p w14:paraId="7CB8E92F" w14:textId="77777777" w:rsidR="003B6BC7" w:rsidRDefault="003B6BC7">
            <w:pPr>
              <w:jc w:val="center"/>
              <w:rPr>
                <w:rFonts w:eastAsia="Times New Roman"/>
                <w:b/>
                <w:bCs/>
              </w:rPr>
            </w:pPr>
            <w:r>
              <w:rPr>
                <w:rFonts w:eastAsia="Times New Roman"/>
                <w:b/>
                <w:bCs/>
              </w:rPr>
              <w:t>Conviction Required?</w:t>
            </w:r>
          </w:p>
        </w:tc>
        <w:tc>
          <w:tcPr>
            <w:tcW w:w="0" w:type="auto"/>
            <w:vAlign w:val="center"/>
            <w:hideMark/>
          </w:tcPr>
          <w:p w14:paraId="5CD69F7E" w14:textId="77777777" w:rsidR="003B6BC7" w:rsidRDefault="003B6BC7">
            <w:pPr>
              <w:jc w:val="center"/>
              <w:rPr>
                <w:rFonts w:eastAsia="Times New Roman"/>
                <w:b/>
                <w:bCs/>
              </w:rPr>
            </w:pPr>
            <w:r>
              <w:rPr>
                <w:rFonts w:eastAsia="Times New Roman"/>
                <w:b/>
                <w:bCs/>
              </w:rPr>
              <w:t>Alternative Remedies</w:t>
            </w:r>
          </w:p>
        </w:tc>
        <w:tc>
          <w:tcPr>
            <w:tcW w:w="0" w:type="auto"/>
            <w:vAlign w:val="center"/>
            <w:hideMark/>
          </w:tcPr>
          <w:p w14:paraId="30B18283" w14:textId="77777777" w:rsidR="003B6BC7" w:rsidRDefault="003B6BC7">
            <w:pPr>
              <w:jc w:val="center"/>
              <w:rPr>
                <w:rFonts w:eastAsia="Times New Roman"/>
                <w:b/>
                <w:bCs/>
              </w:rPr>
            </w:pPr>
            <w:r>
              <w:rPr>
                <w:rFonts w:eastAsia="Times New Roman"/>
                <w:b/>
                <w:bCs/>
              </w:rPr>
              <w:t>Statutory Source / Notes</w:t>
            </w:r>
          </w:p>
        </w:tc>
      </w:tr>
      <w:tr w:rsidR="003B6BC7" w14:paraId="5141235C" w14:textId="77777777">
        <w:trPr>
          <w:tblCellSpacing w:w="15" w:type="dxa"/>
        </w:trPr>
        <w:tc>
          <w:tcPr>
            <w:tcW w:w="0" w:type="auto"/>
            <w:vAlign w:val="center"/>
            <w:hideMark/>
          </w:tcPr>
          <w:p w14:paraId="0A1B6176" w14:textId="77777777" w:rsidR="003B6BC7" w:rsidRDefault="003B6BC7">
            <w:pPr>
              <w:rPr>
                <w:rFonts w:eastAsia="Times New Roman"/>
              </w:rPr>
            </w:pPr>
            <w:r>
              <w:rPr>
                <w:rFonts w:eastAsia="Times New Roman"/>
              </w:rPr>
              <w:t>New York (NY)</w:t>
            </w:r>
          </w:p>
        </w:tc>
        <w:tc>
          <w:tcPr>
            <w:tcW w:w="0" w:type="auto"/>
            <w:vAlign w:val="center"/>
            <w:hideMark/>
          </w:tcPr>
          <w:p w14:paraId="5776A736" w14:textId="77777777" w:rsidR="003B6BC7" w:rsidRDefault="003B6BC7">
            <w:pPr>
              <w:rPr>
                <w:rFonts w:eastAsia="Times New Roman"/>
              </w:rPr>
            </w:pPr>
            <w:r>
              <w:rPr>
                <w:rFonts w:eastAsia="Times New Roman"/>
              </w:rPr>
              <w:t>Yes</w:t>
            </w:r>
          </w:p>
        </w:tc>
        <w:tc>
          <w:tcPr>
            <w:tcW w:w="0" w:type="auto"/>
            <w:vAlign w:val="center"/>
            <w:hideMark/>
          </w:tcPr>
          <w:p w14:paraId="7DF9970F" w14:textId="77777777" w:rsidR="003B6BC7" w:rsidRDefault="003B6BC7">
            <w:pPr>
              <w:rPr>
                <w:rFonts w:eastAsia="Times New Roman"/>
              </w:rPr>
            </w:pPr>
            <w:r>
              <w:rPr>
                <w:rFonts w:eastAsia="Times New Roman"/>
              </w:rPr>
              <w:t>Often required</w:t>
            </w:r>
          </w:p>
        </w:tc>
        <w:tc>
          <w:tcPr>
            <w:tcW w:w="0" w:type="auto"/>
            <w:vAlign w:val="center"/>
            <w:hideMark/>
          </w:tcPr>
          <w:p w14:paraId="6B250F7C" w14:textId="77777777" w:rsidR="003B6BC7" w:rsidRDefault="003B6BC7">
            <w:pPr>
              <w:rPr>
                <w:rFonts w:eastAsia="Times New Roman"/>
              </w:rPr>
            </w:pPr>
            <w:r>
              <w:rPr>
                <w:rFonts w:eastAsia="Times New Roman"/>
              </w:rPr>
              <w:t>Supervised visitation, safety orders, Article 10</w:t>
            </w:r>
          </w:p>
        </w:tc>
        <w:tc>
          <w:tcPr>
            <w:tcW w:w="0" w:type="auto"/>
            <w:vAlign w:val="center"/>
            <w:hideMark/>
          </w:tcPr>
          <w:p w14:paraId="07CFFD9D" w14:textId="77777777" w:rsidR="003B6BC7" w:rsidRDefault="003B6BC7">
            <w:pPr>
              <w:rPr>
                <w:rFonts w:eastAsia="Times New Roman"/>
              </w:rPr>
            </w:pPr>
            <w:r>
              <w:rPr>
                <w:rFonts w:eastAsia="Times New Roman"/>
              </w:rPr>
              <w:t>NCSL chart; NC legislature; NY FCA §384</w:t>
            </w:r>
            <w:r>
              <w:rPr>
                <w:rFonts w:eastAsia="Times New Roman"/>
              </w:rPr>
              <w:noBreakHyphen/>
              <w:t>b</w:t>
            </w:r>
          </w:p>
        </w:tc>
      </w:tr>
      <w:tr w:rsidR="003B6BC7" w14:paraId="68EF6FBA" w14:textId="77777777">
        <w:trPr>
          <w:tblCellSpacing w:w="15" w:type="dxa"/>
        </w:trPr>
        <w:tc>
          <w:tcPr>
            <w:tcW w:w="0" w:type="auto"/>
            <w:vAlign w:val="center"/>
            <w:hideMark/>
          </w:tcPr>
          <w:p w14:paraId="4AF66A85" w14:textId="77777777" w:rsidR="003B6BC7" w:rsidRDefault="003B6BC7">
            <w:pPr>
              <w:rPr>
                <w:rFonts w:eastAsia="Times New Roman"/>
              </w:rPr>
            </w:pPr>
            <w:r>
              <w:rPr>
                <w:rFonts w:eastAsia="Times New Roman"/>
              </w:rPr>
              <w:t>California (CA)</w:t>
            </w:r>
          </w:p>
        </w:tc>
        <w:tc>
          <w:tcPr>
            <w:tcW w:w="0" w:type="auto"/>
            <w:vAlign w:val="center"/>
            <w:hideMark/>
          </w:tcPr>
          <w:p w14:paraId="6A6151F2" w14:textId="77777777" w:rsidR="003B6BC7" w:rsidRDefault="003B6BC7">
            <w:pPr>
              <w:rPr>
                <w:rFonts w:eastAsia="Times New Roman"/>
              </w:rPr>
            </w:pPr>
            <w:r>
              <w:rPr>
                <w:rFonts w:eastAsia="Times New Roman"/>
              </w:rPr>
              <w:t>Yes</w:t>
            </w:r>
          </w:p>
        </w:tc>
        <w:tc>
          <w:tcPr>
            <w:tcW w:w="0" w:type="auto"/>
            <w:vAlign w:val="center"/>
            <w:hideMark/>
          </w:tcPr>
          <w:p w14:paraId="3291A4C1" w14:textId="77777777" w:rsidR="003B6BC7" w:rsidRDefault="003B6BC7">
            <w:pPr>
              <w:rPr>
                <w:rFonts w:eastAsia="Times New Roman"/>
              </w:rPr>
            </w:pPr>
            <w:r>
              <w:rPr>
                <w:rFonts w:eastAsia="Times New Roman"/>
              </w:rPr>
              <w:t>Not necessarily</w:t>
            </w:r>
          </w:p>
        </w:tc>
        <w:tc>
          <w:tcPr>
            <w:tcW w:w="0" w:type="auto"/>
            <w:vAlign w:val="center"/>
            <w:hideMark/>
          </w:tcPr>
          <w:p w14:paraId="186A52E9" w14:textId="77777777" w:rsidR="003B6BC7" w:rsidRDefault="003B6BC7">
            <w:pPr>
              <w:rPr>
                <w:rFonts w:eastAsia="Times New Roman"/>
              </w:rPr>
            </w:pPr>
            <w:r>
              <w:rPr>
                <w:rFonts w:eastAsia="Times New Roman"/>
              </w:rPr>
              <w:t>Protective orders, restricted access</w:t>
            </w:r>
          </w:p>
        </w:tc>
        <w:tc>
          <w:tcPr>
            <w:tcW w:w="0" w:type="auto"/>
            <w:vAlign w:val="center"/>
            <w:hideMark/>
          </w:tcPr>
          <w:p w14:paraId="41FB8378" w14:textId="77777777" w:rsidR="003B6BC7" w:rsidRDefault="003B6BC7">
            <w:pPr>
              <w:rPr>
                <w:rFonts w:eastAsia="Times New Roman"/>
              </w:rPr>
            </w:pPr>
            <w:r>
              <w:rPr>
                <w:rFonts w:eastAsia="Times New Roman"/>
              </w:rPr>
              <w:t>Cal. Fam. Code §</w:t>
            </w:r>
            <w:r>
              <w:rPr>
                <w:rFonts w:ascii="Arial" w:eastAsia="Times New Roman" w:hAnsi="Arial" w:cs="Arial"/>
              </w:rPr>
              <w:t> </w:t>
            </w:r>
            <w:r>
              <w:rPr>
                <w:rFonts w:eastAsia="Times New Roman"/>
              </w:rPr>
              <w:t>7820; NCSL chart</w:t>
            </w:r>
          </w:p>
        </w:tc>
      </w:tr>
      <w:tr w:rsidR="003B6BC7" w14:paraId="67FD4E40" w14:textId="77777777">
        <w:trPr>
          <w:tblCellSpacing w:w="15" w:type="dxa"/>
        </w:trPr>
        <w:tc>
          <w:tcPr>
            <w:tcW w:w="0" w:type="auto"/>
            <w:vAlign w:val="center"/>
            <w:hideMark/>
          </w:tcPr>
          <w:p w14:paraId="449E2A4E" w14:textId="77777777" w:rsidR="003B6BC7" w:rsidRDefault="003B6BC7">
            <w:pPr>
              <w:rPr>
                <w:rFonts w:eastAsia="Times New Roman"/>
              </w:rPr>
            </w:pPr>
            <w:r>
              <w:rPr>
                <w:rFonts w:eastAsia="Times New Roman"/>
              </w:rPr>
              <w:t>Texas (TX)</w:t>
            </w:r>
          </w:p>
        </w:tc>
        <w:tc>
          <w:tcPr>
            <w:tcW w:w="0" w:type="auto"/>
            <w:vAlign w:val="center"/>
            <w:hideMark/>
          </w:tcPr>
          <w:p w14:paraId="02C9D638" w14:textId="77777777" w:rsidR="003B6BC7" w:rsidRDefault="003B6BC7">
            <w:pPr>
              <w:rPr>
                <w:rFonts w:eastAsia="Times New Roman"/>
              </w:rPr>
            </w:pPr>
            <w:r>
              <w:rPr>
                <w:rFonts w:eastAsia="Times New Roman"/>
              </w:rPr>
              <w:t>Yes</w:t>
            </w:r>
          </w:p>
        </w:tc>
        <w:tc>
          <w:tcPr>
            <w:tcW w:w="0" w:type="auto"/>
            <w:vAlign w:val="center"/>
            <w:hideMark/>
          </w:tcPr>
          <w:p w14:paraId="142BDAB1" w14:textId="77777777" w:rsidR="003B6BC7" w:rsidRDefault="003B6BC7">
            <w:pPr>
              <w:rPr>
                <w:rFonts w:eastAsia="Times New Roman"/>
              </w:rPr>
            </w:pPr>
            <w:r>
              <w:rPr>
                <w:rFonts w:eastAsia="Times New Roman"/>
              </w:rPr>
              <w:t>Yes</w:t>
            </w:r>
          </w:p>
        </w:tc>
        <w:tc>
          <w:tcPr>
            <w:tcW w:w="0" w:type="auto"/>
            <w:vAlign w:val="center"/>
            <w:hideMark/>
          </w:tcPr>
          <w:p w14:paraId="7171828E" w14:textId="77777777" w:rsidR="003B6BC7" w:rsidRDefault="003B6BC7">
            <w:pPr>
              <w:rPr>
                <w:rFonts w:eastAsia="Times New Roman"/>
              </w:rPr>
            </w:pPr>
            <w:r>
              <w:rPr>
                <w:rFonts w:eastAsia="Times New Roman"/>
              </w:rPr>
              <w:t>No-contact orders, supervised reunification</w:t>
            </w:r>
          </w:p>
        </w:tc>
        <w:tc>
          <w:tcPr>
            <w:tcW w:w="0" w:type="auto"/>
            <w:vAlign w:val="center"/>
            <w:hideMark/>
          </w:tcPr>
          <w:p w14:paraId="2AAA72A8" w14:textId="77777777" w:rsidR="003B6BC7" w:rsidRDefault="003B6BC7">
            <w:pPr>
              <w:rPr>
                <w:rFonts w:eastAsia="Times New Roman"/>
              </w:rPr>
            </w:pPr>
            <w:r>
              <w:rPr>
                <w:rFonts w:eastAsia="Times New Roman"/>
              </w:rPr>
              <w:t>Tex. Fam. Code §161.007; NCSL chart</w:t>
            </w:r>
          </w:p>
        </w:tc>
      </w:tr>
      <w:tr w:rsidR="003B6BC7" w14:paraId="7AFCC6F0" w14:textId="77777777">
        <w:trPr>
          <w:tblCellSpacing w:w="15" w:type="dxa"/>
        </w:trPr>
        <w:tc>
          <w:tcPr>
            <w:tcW w:w="0" w:type="auto"/>
            <w:vAlign w:val="center"/>
            <w:hideMark/>
          </w:tcPr>
          <w:p w14:paraId="7BAFE86E" w14:textId="77777777" w:rsidR="003B6BC7" w:rsidRDefault="003B6BC7">
            <w:pPr>
              <w:rPr>
                <w:rFonts w:eastAsia="Times New Roman"/>
              </w:rPr>
            </w:pPr>
            <w:r>
              <w:rPr>
                <w:rFonts w:eastAsia="Times New Roman"/>
              </w:rPr>
              <w:t>Florida (FL)</w:t>
            </w:r>
          </w:p>
        </w:tc>
        <w:tc>
          <w:tcPr>
            <w:tcW w:w="0" w:type="auto"/>
            <w:vAlign w:val="center"/>
            <w:hideMark/>
          </w:tcPr>
          <w:p w14:paraId="2674B57B" w14:textId="77777777" w:rsidR="003B6BC7" w:rsidRDefault="003B6BC7">
            <w:pPr>
              <w:rPr>
                <w:rFonts w:eastAsia="Times New Roman"/>
              </w:rPr>
            </w:pPr>
            <w:r>
              <w:rPr>
                <w:rFonts w:eastAsia="Times New Roman"/>
              </w:rPr>
              <w:t>Yes</w:t>
            </w:r>
          </w:p>
        </w:tc>
        <w:tc>
          <w:tcPr>
            <w:tcW w:w="0" w:type="auto"/>
            <w:vAlign w:val="center"/>
            <w:hideMark/>
          </w:tcPr>
          <w:p w14:paraId="6662EA5A" w14:textId="77777777" w:rsidR="003B6BC7" w:rsidRDefault="003B6BC7">
            <w:pPr>
              <w:rPr>
                <w:rFonts w:eastAsia="Times New Roman"/>
              </w:rPr>
            </w:pPr>
            <w:r>
              <w:rPr>
                <w:rFonts w:eastAsia="Times New Roman"/>
              </w:rPr>
              <w:t>Yes</w:t>
            </w:r>
          </w:p>
        </w:tc>
        <w:tc>
          <w:tcPr>
            <w:tcW w:w="0" w:type="auto"/>
            <w:vAlign w:val="center"/>
            <w:hideMark/>
          </w:tcPr>
          <w:p w14:paraId="7BC56126" w14:textId="77777777" w:rsidR="003B6BC7" w:rsidRDefault="003B6BC7">
            <w:pPr>
              <w:rPr>
                <w:rFonts w:eastAsia="Times New Roman"/>
              </w:rPr>
            </w:pPr>
            <w:r>
              <w:rPr>
                <w:rFonts w:eastAsia="Times New Roman"/>
              </w:rPr>
              <w:t>Termination after clear and convincing proof</w:t>
            </w:r>
          </w:p>
        </w:tc>
        <w:tc>
          <w:tcPr>
            <w:tcW w:w="0" w:type="auto"/>
            <w:vAlign w:val="center"/>
            <w:hideMark/>
          </w:tcPr>
          <w:p w14:paraId="5E2CE291" w14:textId="77777777" w:rsidR="003B6BC7" w:rsidRDefault="003B6BC7">
            <w:pPr>
              <w:rPr>
                <w:rFonts w:eastAsia="Times New Roman"/>
              </w:rPr>
            </w:pPr>
            <w:r>
              <w:rPr>
                <w:rFonts w:eastAsia="Times New Roman"/>
              </w:rPr>
              <w:t>F.S. §63.087; NCSL summary</w:t>
            </w:r>
          </w:p>
        </w:tc>
      </w:tr>
      <w:tr w:rsidR="003B6BC7" w14:paraId="134C057E" w14:textId="77777777">
        <w:trPr>
          <w:tblCellSpacing w:w="15" w:type="dxa"/>
        </w:trPr>
        <w:tc>
          <w:tcPr>
            <w:tcW w:w="0" w:type="auto"/>
            <w:vAlign w:val="center"/>
            <w:hideMark/>
          </w:tcPr>
          <w:p w14:paraId="4E68E577" w14:textId="77777777" w:rsidR="003B6BC7" w:rsidRDefault="003B6BC7">
            <w:pPr>
              <w:rPr>
                <w:rFonts w:eastAsia="Times New Roman"/>
              </w:rPr>
            </w:pPr>
            <w:r>
              <w:rPr>
                <w:rFonts w:eastAsia="Times New Roman"/>
              </w:rPr>
              <w:t>Illinois (IL)</w:t>
            </w:r>
          </w:p>
        </w:tc>
        <w:tc>
          <w:tcPr>
            <w:tcW w:w="0" w:type="auto"/>
            <w:vAlign w:val="center"/>
            <w:hideMark/>
          </w:tcPr>
          <w:p w14:paraId="2937DEDF" w14:textId="77777777" w:rsidR="003B6BC7" w:rsidRDefault="003B6BC7">
            <w:pPr>
              <w:rPr>
                <w:rFonts w:eastAsia="Times New Roman"/>
              </w:rPr>
            </w:pPr>
            <w:r>
              <w:rPr>
                <w:rFonts w:eastAsia="Times New Roman"/>
              </w:rPr>
              <w:t>Yes</w:t>
            </w:r>
          </w:p>
        </w:tc>
        <w:tc>
          <w:tcPr>
            <w:tcW w:w="0" w:type="auto"/>
            <w:vAlign w:val="center"/>
            <w:hideMark/>
          </w:tcPr>
          <w:p w14:paraId="5F6DE647" w14:textId="77777777" w:rsidR="003B6BC7" w:rsidRDefault="003B6BC7">
            <w:pPr>
              <w:rPr>
                <w:rFonts w:eastAsia="Times New Roman"/>
              </w:rPr>
            </w:pPr>
            <w:r>
              <w:rPr>
                <w:rFonts w:eastAsia="Times New Roman"/>
              </w:rPr>
              <w:t>Yes</w:t>
            </w:r>
          </w:p>
        </w:tc>
        <w:tc>
          <w:tcPr>
            <w:tcW w:w="0" w:type="auto"/>
            <w:vAlign w:val="center"/>
            <w:hideMark/>
          </w:tcPr>
          <w:p w14:paraId="162826C2" w14:textId="77777777" w:rsidR="003B6BC7" w:rsidRDefault="003B6BC7">
            <w:pPr>
              <w:rPr>
                <w:rFonts w:eastAsia="Times New Roman"/>
              </w:rPr>
            </w:pPr>
            <w:r>
              <w:rPr>
                <w:rFonts w:eastAsia="Times New Roman"/>
              </w:rPr>
              <w:t>Custody limitations, supervised contact</w:t>
            </w:r>
          </w:p>
        </w:tc>
        <w:tc>
          <w:tcPr>
            <w:tcW w:w="0" w:type="auto"/>
            <w:vAlign w:val="center"/>
            <w:hideMark/>
          </w:tcPr>
          <w:p w14:paraId="1D63A8B6" w14:textId="77777777" w:rsidR="003B6BC7" w:rsidRDefault="003B6BC7">
            <w:pPr>
              <w:rPr>
                <w:rFonts w:eastAsia="Times New Roman"/>
              </w:rPr>
            </w:pPr>
            <w:r>
              <w:rPr>
                <w:rFonts w:eastAsia="Times New Roman"/>
              </w:rPr>
              <w:t>750 ILCS 50/1; NCSL</w:t>
            </w:r>
          </w:p>
        </w:tc>
      </w:tr>
      <w:tr w:rsidR="003B6BC7" w14:paraId="43B9B81F" w14:textId="77777777">
        <w:trPr>
          <w:tblCellSpacing w:w="15" w:type="dxa"/>
        </w:trPr>
        <w:tc>
          <w:tcPr>
            <w:tcW w:w="0" w:type="auto"/>
            <w:vAlign w:val="center"/>
            <w:hideMark/>
          </w:tcPr>
          <w:p w14:paraId="667B6F2A" w14:textId="77777777" w:rsidR="003B6BC7" w:rsidRDefault="003B6BC7">
            <w:pPr>
              <w:rPr>
                <w:rFonts w:eastAsia="Times New Roman"/>
              </w:rPr>
            </w:pPr>
            <w:r>
              <w:rPr>
                <w:rFonts w:eastAsia="Times New Roman"/>
              </w:rPr>
              <w:t>Georgia (GA)</w:t>
            </w:r>
          </w:p>
        </w:tc>
        <w:tc>
          <w:tcPr>
            <w:tcW w:w="0" w:type="auto"/>
            <w:vAlign w:val="center"/>
            <w:hideMark/>
          </w:tcPr>
          <w:p w14:paraId="28648789" w14:textId="77777777" w:rsidR="003B6BC7" w:rsidRDefault="003B6BC7">
            <w:pPr>
              <w:rPr>
                <w:rFonts w:eastAsia="Times New Roman"/>
              </w:rPr>
            </w:pPr>
            <w:r>
              <w:rPr>
                <w:rFonts w:eastAsia="Times New Roman"/>
              </w:rPr>
              <w:t>Yes</w:t>
            </w:r>
          </w:p>
        </w:tc>
        <w:tc>
          <w:tcPr>
            <w:tcW w:w="0" w:type="auto"/>
            <w:vAlign w:val="center"/>
            <w:hideMark/>
          </w:tcPr>
          <w:p w14:paraId="33B04E1D" w14:textId="77777777" w:rsidR="003B6BC7" w:rsidRDefault="003B6BC7">
            <w:pPr>
              <w:rPr>
                <w:rFonts w:eastAsia="Times New Roman"/>
              </w:rPr>
            </w:pPr>
            <w:r>
              <w:rPr>
                <w:rFonts w:eastAsia="Times New Roman"/>
              </w:rPr>
              <w:t>Yes</w:t>
            </w:r>
          </w:p>
        </w:tc>
        <w:tc>
          <w:tcPr>
            <w:tcW w:w="0" w:type="auto"/>
            <w:vAlign w:val="center"/>
            <w:hideMark/>
          </w:tcPr>
          <w:p w14:paraId="0DB182FC" w14:textId="77777777" w:rsidR="003B6BC7" w:rsidRDefault="003B6BC7">
            <w:pPr>
              <w:rPr>
                <w:rFonts w:eastAsia="Times New Roman"/>
              </w:rPr>
            </w:pPr>
            <w:r>
              <w:rPr>
                <w:rFonts w:eastAsia="Times New Roman"/>
              </w:rPr>
              <w:t>Restrict visitation, protective orders</w:t>
            </w:r>
          </w:p>
        </w:tc>
        <w:tc>
          <w:tcPr>
            <w:tcW w:w="0" w:type="auto"/>
            <w:vAlign w:val="center"/>
            <w:hideMark/>
          </w:tcPr>
          <w:p w14:paraId="6DFAA5DB" w14:textId="77777777" w:rsidR="003B6BC7" w:rsidRDefault="003B6BC7">
            <w:pPr>
              <w:rPr>
                <w:rFonts w:eastAsia="Times New Roman"/>
              </w:rPr>
            </w:pPr>
            <w:r>
              <w:rPr>
                <w:rFonts w:eastAsia="Times New Roman"/>
              </w:rPr>
              <w:t>O.C.G.A. §15</w:t>
            </w:r>
            <w:r>
              <w:rPr>
                <w:rFonts w:eastAsia="Times New Roman"/>
              </w:rPr>
              <w:noBreakHyphen/>
              <w:t>11; NCSL</w:t>
            </w:r>
          </w:p>
        </w:tc>
      </w:tr>
      <w:tr w:rsidR="003B6BC7" w14:paraId="4D682A43" w14:textId="77777777">
        <w:trPr>
          <w:tblCellSpacing w:w="15" w:type="dxa"/>
        </w:trPr>
        <w:tc>
          <w:tcPr>
            <w:tcW w:w="0" w:type="auto"/>
            <w:vAlign w:val="center"/>
            <w:hideMark/>
          </w:tcPr>
          <w:p w14:paraId="46D956F3" w14:textId="77777777" w:rsidR="003B6BC7" w:rsidRDefault="003B6BC7">
            <w:pPr>
              <w:rPr>
                <w:rFonts w:eastAsia="Times New Roman"/>
              </w:rPr>
            </w:pPr>
            <w:r>
              <w:rPr>
                <w:rFonts w:eastAsia="Times New Roman"/>
              </w:rPr>
              <w:t>Colorado (CO)</w:t>
            </w:r>
          </w:p>
        </w:tc>
        <w:tc>
          <w:tcPr>
            <w:tcW w:w="0" w:type="auto"/>
            <w:vAlign w:val="center"/>
            <w:hideMark/>
          </w:tcPr>
          <w:p w14:paraId="1AE99261" w14:textId="77777777" w:rsidR="003B6BC7" w:rsidRDefault="003B6BC7">
            <w:pPr>
              <w:rPr>
                <w:rFonts w:eastAsia="Times New Roman"/>
              </w:rPr>
            </w:pPr>
            <w:r>
              <w:rPr>
                <w:rFonts w:eastAsia="Times New Roman"/>
              </w:rPr>
              <w:t>Yes</w:t>
            </w:r>
          </w:p>
        </w:tc>
        <w:tc>
          <w:tcPr>
            <w:tcW w:w="0" w:type="auto"/>
            <w:vAlign w:val="center"/>
            <w:hideMark/>
          </w:tcPr>
          <w:p w14:paraId="0DA14E83" w14:textId="77777777" w:rsidR="003B6BC7" w:rsidRDefault="003B6BC7">
            <w:pPr>
              <w:rPr>
                <w:rFonts w:eastAsia="Times New Roman"/>
              </w:rPr>
            </w:pPr>
            <w:r>
              <w:rPr>
                <w:rFonts w:eastAsia="Times New Roman"/>
              </w:rPr>
              <w:t>Not required</w:t>
            </w:r>
          </w:p>
        </w:tc>
        <w:tc>
          <w:tcPr>
            <w:tcW w:w="0" w:type="auto"/>
            <w:vAlign w:val="center"/>
            <w:hideMark/>
          </w:tcPr>
          <w:p w14:paraId="004D9EB5" w14:textId="77777777" w:rsidR="003B6BC7" w:rsidRDefault="003B6BC7">
            <w:pPr>
              <w:rPr>
                <w:rFonts w:eastAsia="Times New Roman"/>
              </w:rPr>
            </w:pPr>
            <w:r>
              <w:rPr>
                <w:rFonts w:eastAsia="Times New Roman"/>
              </w:rPr>
              <w:t>Judicial discretion, restrictions without TPR</w:t>
            </w:r>
          </w:p>
        </w:tc>
        <w:tc>
          <w:tcPr>
            <w:tcW w:w="0" w:type="auto"/>
            <w:vAlign w:val="center"/>
            <w:hideMark/>
          </w:tcPr>
          <w:p w14:paraId="3CCE3230" w14:textId="77777777" w:rsidR="003B6BC7" w:rsidRDefault="003B6BC7">
            <w:pPr>
              <w:rPr>
                <w:rFonts w:eastAsia="Times New Roman"/>
              </w:rPr>
            </w:pPr>
            <w:r>
              <w:rPr>
                <w:rFonts w:eastAsia="Times New Roman"/>
              </w:rPr>
              <w:t>Colo. Rev. Stat. §19</w:t>
            </w:r>
            <w:r>
              <w:rPr>
                <w:rFonts w:eastAsia="Times New Roman"/>
              </w:rPr>
              <w:noBreakHyphen/>
              <w:t>3</w:t>
            </w:r>
            <w:r>
              <w:rPr>
                <w:rFonts w:eastAsia="Times New Roman"/>
              </w:rPr>
              <w:noBreakHyphen/>
              <w:t>604; NCSL</w:t>
            </w:r>
          </w:p>
        </w:tc>
      </w:tr>
      <w:tr w:rsidR="003B6BC7" w14:paraId="47F4C383" w14:textId="77777777">
        <w:trPr>
          <w:tblCellSpacing w:w="15" w:type="dxa"/>
        </w:trPr>
        <w:tc>
          <w:tcPr>
            <w:tcW w:w="0" w:type="auto"/>
            <w:vAlign w:val="center"/>
            <w:hideMark/>
          </w:tcPr>
          <w:p w14:paraId="302A37DD" w14:textId="77777777" w:rsidR="003B6BC7" w:rsidRDefault="003B6BC7">
            <w:pPr>
              <w:rPr>
                <w:rFonts w:eastAsia="Times New Roman"/>
              </w:rPr>
            </w:pPr>
            <w:r>
              <w:rPr>
                <w:rFonts w:eastAsia="Times New Roman"/>
              </w:rPr>
              <w:t>Pennsylvania (PA)</w:t>
            </w:r>
          </w:p>
        </w:tc>
        <w:tc>
          <w:tcPr>
            <w:tcW w:w="0" w:type="auto"/>
            <w:vAlign w:val="center"/>
            <w:hideMark/>
          </w:tcPr>
          <w:p w14:paraId="5EADE5DC" w14:textId="77777777" w:rsidR="003B6BC7" w:rsidRDefault="003B6BC7">
            <w:pPr>
              <w:rPr>
                <w:rFonts w:eastAsia="Times New Roman"/>
              </w:rPr>
            </w:pPr>
            <w:r>
              <w:rPr>
                <w:rFonts w:eastAsia="Times New Roman"/>
              </w:rPr>
              <w:t>Yes</w:t>
            </w:r>
          </w:p>
        </w:tc>
        <w:tc>
          <w:tcPr>
            <w:tcW w:w="0" w:type="auto"/>
            <w:vAlign w:val="center"/>
            <w:hideMark/>
          </w:tcPr>
          <w:p w14:paraId="50581B30" w14:textId="77777777" w:rsidR="003B6BC7" w:rsidRDefault="003B6BC7">
            <w:pPr>
              <w:rPr>
                <w:rFonts w:eastAsia="Times New Roman"/>
              </w:rPr>
            </w:pPr>
            <w:r>
              <w:rPr>
                <w:rFonts w:eastAsia="Times New Roman"/>
              </w:rPr>
              <w:t>Yes</w:t>
            </w:r>
          </w:p>
        </w:tc>
        <w:tc>
          <w:tcPr>
            <w:tcW w:w="0" w:type="auto"/>
            <w:vAlign w:val="center"/>
            <w:hideMark/>
          </w:tcPr>
          <w:p w14:paraId="5F17DA5A" w14:textId="77777777" w:rsidR="003B6BC7" w:rsidRDefault="003B6BC7">
            <w:pPr>
              <w:rPr>
                <w:rFonts w:eastAsia="Times New Roman"/>
              </w:rPr>
            </w:pPr>
            <w:r>
              <w:rPr>
                <w:rFonts w:eastAsia="Times New Roman"/>
              </w:rPr>
              <w:t>Severe restrictions on contact and access</w:t>
            </w:r>
          </w:p>
        </w:tc>
        <w:tc>
          <w:tcPr>
            <w:tcW w:w="0" w:type="auto"/>
            <w:vAlign w:val="center"/>
            <w:hideMark/>
          </w:tcPr>
          <w:p w14:paraId="31208756" w14:textId="77777777" w:rsidR="003B6BC7" w:rsidRDefault="003B6BC7">
            <w:pPr>
              <w:rPr>
                <w:rFonts w:eastAsia="Times New Roman"/>
              </w:rPr>
            </w:pPr>
            <w:r>
              <w:rPr>
                <w:rFonts w:eastAsia="Times New Roman"/>
              </w:rPr>
              <w:t xml:space="preserve">23 </w:t>
            </w:r>
            <w:proofErr w:type="spellStart"/>
            <w:r>
              <w:rPr>
                <w:rFonts w:eastAsia="Times New Roman"/>
              </w:rPr>
              <w:t>Pa.C.S</w:t>
            </w:r>
            <w:proofErr w:type="spellEnd"/>
            <w:r>
              <w:rPr>
                <w:rFonts w:eastAsia="Times New Roman"/>
              </w:rPr>
              <w:t>. §2511; NCSL</w:t>
            </w:r>
          </w:p>
        </w:tc>
      </w:tr>
      <w:tr w:rsidR="003B6BC7" w14:paraId="5E8942C3" w14:textId="77777777">
        <w:trPr>
          <w:tblCellSpacing w:w="15" w:type="dxa"/>
        </w:trPr>
        <w:tc>
          <w:tcPr>
            <w:tcW w:w="0" w:type="auto"/>
            <w:vAlign w:val="center"/>
            <w:hideMark/>
          </w:tcPr>
          <w:p w14:paraId="13FD4731" w14:textId="77777777" w:rsidR="003B6BC7" w:rsidRDefault="003B6BC7">
            <w:pPr>
              <w:rPr>
                <w:rFonts w:eastAsia="Times New Roman"/>
              </w:rPr>
            </w:pPr>
            <w:r>
              <w:rPr>
                <w:rFonts w:eastAsia="Times New Roman"/>
              </w:rPr>
              <w:t>Oregon (OR)</w:t>
            </w:r>
          </w:p>
        </w:tc>
        <w:tc>
          <w:tcPr>
            <w:tcW w:w="0" w:type="auto"/>
            <w:vAlign w:val="center"/>
            <w:hideMark/>
          </w:tcPr>
          <w:p w14:paraId="76A0EB07" w14:textId="77777777" w:rsidR="003B6BC7" w:rsidRDefault="003B6BC7">
            <w:pPr>
              <w:rPr>
                <w:rFonts w:eastAsia="Times New Roman"/>
              </w:rPr>
            </w:pPr>
            <w:r>
              <w:rPr>
                <w:rFonts w:eastAsia="Times New Roman"/>
              </w:rPr>
              <w:t>Yes</w:t>
            </w:r>
          </w:p>
        </w:tc>
        <w:tc>
          <w:tcPr>
            <w:tcW w:w="0" w:type="auto"/>
            <w:vAlign w:val="center"/>
            <w:hideMark/>
          </w:tcPr>
          <w:p w14:paraId="16656FA5" w14:textId="77777777" w:rsidR="003B6BC7" w:rsidRDefault="003B6BC7">
            <w:pPr>
              <w:rPr>
                <w:rFonts w:eastAsia="Times New Roman"/>
              </w:rPr>
            </w:pPr>
            <w:r>
              <w:rPr>
                <w:rFonts w:eastAsia="Times New Roman"/>
              </w:rPr>
              <w:t>No</w:t>
            </w:r>
          </w:p>
        </w:tc>
        <w:tc>
          <w:tcPr>
            <w:tcW w:w="0" w:type="auto"/>
            <w:vAlign w:val="center"/>
            <w:hideMark/>
          </w:tcPr>
          <w:p w14:paraId="4C78C968" w14:textId="77777777" w:rsidR="003B6BC7" w:rsidRDefault="003B6BC7">
            <w:pPr>
              <w:rPr>
                <w:rFonts w:eastAsia="Times New Roman"/>
              </w:rPr>
            </w:pPr>
            <w:r>
              <w:rPr>
                <w:rFonts w:eastAsia="Times New Roman"/>
              </w:rPr>
              <w:t>May rely on administrative findings</w:t>
            </w:r>
          </w:p>
        </w:tc>
        <w:tc>
          <w:tcPr>
            <w:tcW w:w="0" w:type="auto"/>
            <w:vAlign w:val="center"/>
            <w:hideMark/>
          </w:tcPr>
          <w:p w14:paraId="50D38B06" w14:textId="77777777" w:rsidR="003B6BC7" w:rsidRDefault="003B6BC7">
            <w:pPr>
              <w:rPr>
                <w:rFonts w:eastAsia="Times New Roman"/>
              </w:rPr>
            </w:pPr>
            <w:r>
              <w:rPr>
                <w:rFonts w:eastAsia="Times New Roman"/>
              </w:rPr>
              <w:t>Or. Rev. Stat. §109.092; NCSL</w:t>
            </w:r>
          </w:p>
        </w:tc>
      </w:tr>
      <w:tr w:rsidR="003B6BC7" w14:paraId="2E14C775" w14:textId="77777777">
        <w:trPr>
          <w:tblCellSpacing w:w="15" w:type="dxa"/>
        </w:trPr>
        <w:tc>
          <w:tcPr>
            <w:tcW w:w="0" w:type="auto"/>
            <w:vAlign w:val="center"/>
            <w:hideMark/>
          </w:tcPr>
          <w:p w14:paraId="52D32E05" w14:textId="77777777" w:rsidR="003B6BC7" w:rsidRDefault="003B6BC7">
            <w:pPr>
              <w:rPr>
                <w:rFonts w:eastAsia="Times New Roman"/>
              </w:rPr>
            </w:pPr>
            <w:r>
              <w:rPr>
                <w:rFonts w:eastAsia="Times New Roman"/>
              </w:rPr>
              <w:t>Minnesota (MN)</w:t>
            </w:r>
          </w:p>
        </w:tc>
        <w:tc>
          <w:tcPr>
            <w:tcW w:w="0" w:type="auto"/>
            <w:vAlign w:val="center"/>
            <w:hideMark/>
          </w:tcPr>
          <w:p w14:paraId="0A996756" w14:textId="77777777" w:rsidR="003B6BC7" w:rsidRDefault="003B6BC7">
            <w:pPr>
              <w:rPr>
                <w:rFonts w:eastAsia="Times New Roman"/>
              </w:rPr>
            </w:pPr>
            <w:r>
              <w:rPr>
                <w:rFonts w:eastAsia="Times New Roman"/>
              </w:rPr>
              <w:t>Yes</w:t>
            </w:r>
          </w:p>
        </w:tc>
        <w:tc>
          <w:tcPr>
            <w:tcW w:w="0" w:type="auto"/>
            <w:vAlign w:val="center"/>
            <w:hideMark/>
          </w:tcPr>
          <w:p w14:paraId="3A1E08D6" w14:textId="77777777" w:rsidR="003B6BC7" w:rsidRDefault="003B6BC7">
            <w:pPr>
              <w:rPr>
                <w:rFonts w:eastAsia="Times New Roman"/>
              </w:rPr>
            </w:pPr>
            <w:r>
              <w:rPr>
                <w:rFonts w:eastAsia="Times New Roman"/>
              </w:rPr>
              <w:t>Yes</w:t>
            </w:r>
          </w:p>
        </w:tc>
        <w:tc>
          <w:tcPr>
            <w:tcW w:w="0" w:type="auto"/>
            <w:vAlign w:val="center"/>
            <w:hideMark/>
          </w:tcPr>
          <w:p w14:paraId="2D45D53B" w14:textId="77777777" w:rsidR="003B6BC7" w:rsidRDefault="003B6BC7">
            <w:pPr>
              <w:rPr>
                <w:rFonts w:eastAsia="Times New Roman"/>
              </w:rPr>
            </w:pPr>
            <w:r>
              <w:rPr>
                <w:rFonts w:eastAsia="Times New Roman"/>
              </w:rPr>
              <w:t>Monitored contact progression</w:t>
            </w:r>
          </w:p>
        </w:tc>
        <w:tc>
          <w:tcPr>
            <w:tcW w:w="0" w:type="auto"/>
            <w:vAlign w:val="center"/>
            <w:hideMark/>
          </w:tcPr>
          <w:p w14:paraId="6B1209F4" w14:textId="77777777" w:rsidR="003B6BC7" w:rsidRDefault="003B6BC7">
            <w:pPr>
              <w:rPr>
                <w:rFonts w:eastAsia="Times New Roman"/>
              </w:rPr>
            </w:pPr>
            <w:r>
              <w:rPr>
                <w:rFonts w:eastAsia="Times New Roman"/>
              </w:rPr>
              <w:t>Minn. Stat. §260C.301; NCSL</w:t>
            </w:r>
          </w:p>
        </w:tc>
      </w:tr>
      <w:tr w:rsidR="003B6BC7" w14:paraId="39EFF97B" w14:textId="77777777">
        <w:trPr>
          <w:tblCellSpacing w:w="15" w:type="dxa"/>
        </w:trPr>
        <w:tc>
          <w:tcPr>
            <w:tcW w:w="0" w:type="auto"/>
            <w:vAlign w:val="center"/>
            <w:hideMark/>
          </w:tcPr>
          <w:p w14:paraId="6E34AA0B" w14:textId="77777777" w:rsidR="003B6BC7" w:rsidRDefault="003B6BC7">
            <w:pPr>
              <w:rPr>
                <w:rFonts w:eastAsia="Times New Roman"/>
              </w:rPr>
            </w:pPr>
            <w:r>
              <w:rPr>
                <w:rFonts w:eastAsia="Times New Roman"/>
              </w:rPr>
              <w:t>Arizona (AZ)</w:t>
            </w:r>
          </w:p>
        </w:tc>
        <w:tc>
          <w:tcPr>
            <w:tcW w:w="0" w:type="auto"/>
            <w:vAlign w:val="center"/>
            <w:hideMark/>
          </w:tcPr>
          <w:p w14:paraId="756C6054" w14:textId="77777777" w:rsidR="003B6BC7" w:rsidRDefault="003B6BC7">
            <w:pPr>
              <w:rPr>
                <w:rFonts w:eastAsia="Times New Roman"/>
              </w:rPr>
            </w:pPr>
            <w:r>
              <w:rPr>
                <w:rFonts w:eastAsia="Times New Roman"/>
              </w:rPr>
              <w:t>Yes</w:t>
            </w:r>
          </w:p>
        </w:tc>
        <w:tc>
          <w:tcPr>
            <w:tcW w:w="0" w:type="auto"/>
            <w:vAlign w:val="center"/>
            <w:hideMark/>
          </w:tcPr>
          <w:p w14:paraId="59B86BC7" w14:textId="77777777" w:rsidR="003B6BC7" w:rsidRDefault="003B6BC7">
            <w:pPr>
              <w:rPr>
                <w:rFonts w:eastAsia="Times New Roman"/>
              </w:rPr>
            </w:pPr>
            <w:r>
              <w:rPr>
                <w:rFonts w:eastAsia="Times New Roman"/>
              </w:rPr>
              <w:t>Yes</w:t>
            </w:r>
          </w:p>
        </w:tc>
        <w:tc>
          <w:tcPr>
            <w:tcW w:w="0" w:type="auto"/>
            <w:vAlign w:val="center"/>
            <w:hideMark/>
          </w:tcPr>
          <w:p w14:paraId="130B957A" w14:textId="77777777" w:rsidR="003B6BC7" w:rsidRDefault="003B6BC7">
            <w:pPr>
              <w:rPr>
                <w:rFonts w:eastAsia="Times New Roman"/>
              </w:rPr>
            </w:pPr>
            <w:r>
              <w:rPr>
                <w:rFonts w:eastAsia="Times New Roman"/>
              </w:rPr>
              <w:t>Conditions on reunification after treatment</w:t>
            </w:r>
          </w:p>
        </w:tc>
        <w:tc>
          <w:tcPr>
            <w:tcW w:w="0" w:type="auto"/>
            <w:vAlign w:val="center"/>
            <w:hideMark/>
          </w:tcPr>
          <w:p w14:paraId="3E72172D" w14:textId="77777777" w:rsidR="003B6BC7" w:rsidRDefault="003B6BC7">
            <w:pPr>
              <w:rPr>
                <w:rFonts w:eastAsia="Times New Roman"/>
              </w:rPr>
            </w:pPr>
            <w:r>
              <w:rPr>
                <w:rFonts w:eastAsia="Times New Roman"/>
              </w:rPr>
              <w:t>Ariz. Rev. Stat. §8</w:t>
            </w:r>
            <w:r>
              <w:rPr>
                <w:rFonts w:eastAsia="Times New Roman"/>
              </w:rPr>
              <w:noBreakHyphen/>
              <w:t>533; NCSL</w:t>
            </w:r>
          </w:p>
        </w:tc>
      </w:tr>
      <w:tr w:rsidR="003B6BC7" w14:paraId="4497D4E8" w14:textId="77777777">
        <w:trPr>
          <w:tblCellSpacing w:w="15" w:type="dxa"/>
        </w:trPr>
        <w:tc>
          <w:tcPr>
            <w:tcW w:w="0" w:type="auto"/>
            <w:vAlign w:val="center"/>
            <w:hideMark/>
          </w:tcPr>
          <w:p w14:paraId="4642BF3F" w14:textId="77777777" w:rsidR="003B6BC7" w:rsidRDefault="003B6BC7">
            <w:pPr>
              <w:rPr>
                <w:rFonts w:eastAsia="Times New Roman"/>
              </w:rPr>
            </w:pPr>
            <w:r>
              <w:rPr>
                <w:rFonts w:eastAsia="Times New Roman"/>
              </w:rPr>
              <w:t>Michigan (MI)</w:t>
            </w:r>
          </w:p>
        </w:tc>
        <w:tc>
          <w:tcPr>
            <w:tcW w:w="0" w:type="auto"/>
            <w:vAlign w:val="center"/>
            <w:hideMark/>
          </w:tcPr>
          <w:p w14:paraId="09AFAC61" w14:textId="77777777" w:rsidR="003B6BC7" w:rsidRDefault="003B6BC7">
            <w:pPr>
              <w:rPr>
                <w:rFonts w:eastAsia="Times New Roman"/>
              </w:rPr>
            </w:pPr>
            <w:r>
              <w:rPr>
                <w:rFonts w:eastAsia="Times New Roman"/>
              </w:rPr>
              <w:t>Yes</w:t>
            </w:r>
          </w:p>
        </w:tc>
        <w:tc>
          <w:tcPr>
            <w:tcW w:w="0" w:type="auto"/>
            <w:vAlign w:val="center"/>
            <w:hideMark/>
          </w:tcPr>
          <w:p w14:paraId="3374CC92" w14:textId="77777777" w:rsidR="003B6BC7" w:rsidRDefault="003B6BC7">
            <w:pPr>
              <w:rPr>
                <w:rFonts w:eastAsia="Times New Roman"/>
              </w:rPr>
            </w:pPr>
            <w:r>
              <w:rPr>
                <w:rFonts w:eastAsia="Times New Roman"/>
              </w:rPr>
              <w:t>Yes</w:t>
            </w:r>
          </w:p>
        </w:tc>
        <w:tc>
          <w:tcPr>
            <w:tcW w:w="0" w:type="auto"/>
            <w:vAlign w:val="center"/>
            <w:hideMark/>
          </w:tcPr>
          <w:p w14:paraId="22D8D3E2" w14:textId="77777777" w:rsidR="003B6BC7" w:rsidRDefault="003B6BC7">
            <w:pPr>
              <w:rPr>
                <w:rFonts w:eastAsia="Times New Roman"/>
              </w:rPr>
            </w:pPr>
            <w:r>
              <w:rPr>
                <w:rFonts w:eastAsia="Times New Roman"/>
              </w:rPr>
              <w:t>Supervised time with compliance</w:t>
            </w:r>
          </w:p>
        </w:tc>
        <w:tc>
          <w:tcPr>
            <w:tcW w:w="0" w:type="auto"/>
            <w:vAlign w:val="center"/>
            <w:hideMark/>
          </w:tcPr>
          <w:p w14:paraId="73454C95" w14:textId="77777777" w:rsidR="003B6BC7" w:rsidRDefault="003B6BC7">
            <w:pPr>
              <w:rPr>
                <w:rFonts w:eastAsia="Times New Roman"/>
              </w:rPr>
            </w:pPr>
            <w:r>
              <w:rPr>
                <w:rFonts w:eastAsia="Times New Roman"/>
              </w:rPr>
              <w:t>MCL §712A.19b; NCSL</w:t>
            </w:r>
          </w:p>
        </w:tc>
      </w:tr>
      <w:tr w:rsidR="003B6BC7" w14:paraId="3AD31AFF" w14:textId="77777777">
        <w:trPr>
          <w:tblCellSpacing w:w="15" w:type="dxa"/>
        </w:trPr>
        <w:tc>
          <w:tcPr>
            <w:tcW w:w="0" w:type="auto"/>
            <w:vAlign w:val="center"/>
            <w:hideMark/>
          </w:tcPr>
          <w:p w14:paraId="0FCFADF6" w14:textId="77777777" w:rsidR="003B6BC7" w:rsidRDefault="003B6BC7">
            <w:pPr>
              <w:rPr>
                <w:rFonts w:eastAsia="Times New Roman"/>
              </w:rPr>
            </w:pPr>
            <w:r>
              <w:rPr>
                <w:rFonts w:eastAsia="Times New Roman"/>
              </w:rPr>
              <w:t>North Carolina</w:t>
            </w:r>
          </w:p>
        </w:tc>
        <w:tc>
          <w:tcPr>
            <w:tcW w:w="0" w:type="auto"/>
            <w:vAlign w:val="center"/>
            <w:hideMark/>
          </w:tcPr>
          <w:p w14:paraId="2D517C80" w14:textId="77777777" w:rsidR="003B6BC7" w:rsidRDefault="003B6BC7">
            <w:pPr>
              <w:rPr>
                <w:rFonts w:eastAsia="Times New Roman"/>
              </w:rPr>
            </w:pPr>
            <w:r>
              <w:rPr>
                <w:rFonts w:eastAsia="Times New Roman"/>
              </w:rPr>
              <w:t>Yes</w:t>
            </w:r>
          </w:p>
        </w:tc>
        <w:tc>
          <w:tcPr>
            <w:tcW w:w="0" w:type="auto"/>
            <w:vAlign w:val="center"/>
            <w:hideMark/>
          </w:tcPr>
          <w:p w14:paraId="2A2214F1" w14:textId="77777777" w:rsidR="003B6BC7" w:rsidRDefault="003B6BC7">
            <w:pPr>
              <w:rPr>
                <w:rFonts w:eastAsia="Times New Roman"/>
              </w:rPr>
            </w:pPr>
            <w:r>
              <w:rPr>
                <w:rFonts w:eastAsia="Times New Roman"/>
              </w:rPr>
              <w:t>Variable</w:t>
            </w:r>
          </w:p>
        </w:tc>
        <w:tc>
          <w:tcPr>
            <w:tcW w:w="0" w:type="auto"/>
            <w:vAlign w:val="center"/>
            <w:hideMark/>
          </w:tcPr>
          <w:p w14:paraId="788A1E3D" w14:textId="77777777" w:rsidR="003B6BC7" w:rsidRDefault="003B6BC7">
            <w:pPr>
              <w:rPr>
                <w:rFonts w:eastAsia="Times New Roman"/>
              </w:rPr>
            </w:pPr>
            <w:r>
              <w:rPr>
                <w:rFonts w:eastAsia="Times New Roman"/>
              </w:rPr>
              <w:t>Custody restrictions over full TPR</w:t>
            </w:r>
          </w:p>
        </w:tc>
        <w:tc>
          <w:tcPr>
            <w:tcW w:w="0" w:type="auto"/>
            <w:vAlign w:val="center"/>
            <w:hideMark/>
          </w:tcPr>
          <w:p w14:paraId="65B70F4E" w14:textId="77777777" w:rsidR="003B6BC7" w:rsidRDefault="003B6BC7">
            <w:pPr>
              <w:rPr>
                <w:rFonts w:eastAsia="Times New Roman"/>
              </w:rPr>
            </w:pPr>
            <w:r>
              <w:rPr>
                <w:rFonts w:eastAsia="Times New Roman"/>
              </w:rPr>
              <w:t>N.C. Gen. Stat. §7B</w:t>
            </w:r>
            <w:r>
              <w:rPr>
                <w:rFonts w:eastAsia="Times New Roman"/>
              </w:rPr>
              <w:noBreakHyphen/>
              <w:t>1111; NCSL</w:t>
            </w:r>
          </w:p>
        </w:tc>
      </w:tr>
      <w:tr w:rsidR="003B6BC7" w14:paraId="187DDB54" w14:textId="77777777">
        <w:trPr>
          <w:tblCellSpacing w:w="15" w:type="dxa"/>
        </w:trPr>
        <w:tc>
          <w:tcPr>
            <w:tcW w:w="0" w:type="auto"/>
            <w:vAlign w:val="center"/>
            <w:hideMark/>
          </w:tcPr>
          <w:p w14:paraId="4FBF858C" w14:textId="77777777" w:rsidR="003B6BC7" w:rsidRDefault="003B6BC7">
            <w:pPr>
              <w:rPr>
                <w:rFonts w:eastAsia="Times New Roman"/>
              </w:rPr>
            </w:pPr>
            <w:r>
              <w:rPr>
                <w:rFonts w:eastAsia="Times New Roman"/>
              </w:rPr>
              <w:t>Nevada (NV)</w:t>
            </w:r>
          </w:p>
        </w:tc>
        <w:tc>
          <w:tcPr>
            <w:tcW w:w="0" w:type="auto"/>
            <w:vAlign w:val="center"/>
            <w:hideMark/>
          </w:tcPr>
          <w:p w14:paraId="01732EB2" w14:textId="77777777" w:rsidR="003B6BC7" w:rsidRDefault="003B6BC7">
            <w:pPr>
              <w:rPr>
                <w:rFonts w:eastAsia="Times New Roman"/>
              </w:rPr>
            </w:pPr>
            <w:r>
              <w:rPr>
                <w:rFonts w:eastAsia="Times New Roman"/>
              </w:rPr>
              <w:t>Yes</w:t>
            </w:r>
          </w:p>
        </w:tc>
        <w:tc>
          <w:tcPr>
            <w:tcW w:w="0" w:type="auto"/>
            <w:vAlign w:val="center"/>
            <w:hideMark/>
          </w:tcPr>
          <w:p w14:paraId="3AD3062E" w14:textId="77777777" w:rsidR="003B6BC7" w:rsidRDefault="003B6BC7">
            <w:pPr>
              <w:rPr>
                <w:rFonts w:eastAsia="Times New Roman"/>
              </w:rPr>
            </w:pPr>
            <w:r>
              <w:rPr>
                <w:rFonts w:eastAsia="Times New Roman"/>
              </w:rPr>
              <w:t>Sometimes</w:t>
            </w:r>
          </w:p>
        </w:tc>
        <w:tc>
          <w:tcPr>
            <w:tcW w:w="0" w:type="auto"/>
            <w:vAlign w:val="center"/>
            <w:hideMark/>
          </w:tcPr>
          <w:p w14:paraId="4CA0F04C" w14:textId="77777777" w:rsidR="003B6BC7" w:rsidRDefault="003B6BC7">
            <w:pPr>
              <w:rPr>
                <w:rFonts w:eastAsia="Times New Roman"/>
              </w:rPr>
            </w:pPr>
            <w:r>
              <w:rPr>
                <w:rFonts w:eastAsia="Times New Roman"/>
              </w:rPr>
              <w:t>Supervised visits, restricted access</w:t>
            </w:r>
          </w:p>
        </w:tc>
        <w:tc>
          <w:tcPr>
            <w:tcW w:w="0" w:type="auto"/>
            <w:vAlign w:val="center"/>
            <w:hideMark/>
          </w:tcPr>
          <w:p w14:paraId="552F73E4" w14:textId="77777777" w:rsidR="003B6BC7" w:rsidRDefault="003B6BC7">
            <w:pPr>
              <w:rPr>
                <w:rFonts w:eastAsia="Times New Roman"/>
              </w:rPr>
            </w:pPr>
            <w:r>
              <w:rPr>
                <w:rFonts w:eastAsia="Times New Roman"/>
              </w:rPr>
              <w:t>Nev. Rev. Stat. §128.105; NCSL</w:t>
            </w:r>
          </w:p>
        </w:tc>
      </w:tr>
      <w:tr w:rsidR="003B6BC7" w14:paraId="555EBC4D" w14:textId="77777777">
        <w:trPr>
          <w:tblCellSpacing w:w="15" w:type="dxa"/>
        </w:trPr>
        <w:tc>
          <w:tcPr>
            <w:tcW w:w="0" w:type="auto"/>
            <w:vAlign w:val="center"/>
            <w:hideMark/>
          </w:tcPr>
          <w:p w14:paraId="2F53F5C4" w14:textId="77777777" w:rsidR="003B6BC7" w:rsidRDefault="003B6BC7">
            <w:pPr>
              <w:rPr>
                <w:rFonts w:eastAsia="Times New Roman"/>
              </w:rPr>
            </w:pPr>
            <w:r>
              <w:rPr>
                <w:rFonts w:eastAsia="Times New Roman"/>
              </w:rPr>
              <w:t>Washington (WA)</w:t>
            </w:r>
          </w:p>
        </w:tc>
        <w:tc>
          <w:tcPr>
            <w:tcW w:w="0" w:type="auto"/>
            <w:vAlign w:val="center"/>
            <w:hideMark/>
          </w:tcPr>
          <w:p w14:paraId="43082849" w14:textId="77777777" w:rsidR="003B6BC7" w:rsidRDefault="003B6BC7">
            <w:pPr>
              <w:rPr>
                <w:rFonts w:eastAsia="Times New Roman"/>
              </w:rPr>
            </w:pPr>
            <w:r>
              <w:rPr>
                <w:rFonts w:eastAsia="Times New Roman"/>
              </w:rPr>
              <w:t>Yes</w:t>
            </w:r>
          </w:p>
        </w:tc>
        <w:tc>
          <w:tcPr>
            <w:tcW w:w="0" w:type="auto"/>
            <w:vAlign w:val="center"/>
            <w:hideMark/>
          </w:tcPr>
          <w:p w14:paraId="2AFE4852" w14:textId="77777777" w:rsidR="003B6BC7" w:rsidRDefault="003B6BC7">
            <w:pPr>
              <w:rPr>
                <w:rFonts w:eastAsia="Times New Roman"/>
              </w:rPr>
            </w:pPr>
            <w:r>
              <w:rPr>
                <w:rFonts w:eastAsia="Times New Roman"/>
              </w:rPr>
              <w:t>Not always</w:t>
            </w:r>
          </w:p>
        </w:tc>
        <w:tc>
          <w:tcPr>
            <w:tcW w:w="0" w:type="auto"/>
            <w:vAlign w:val="center"/>
            <w:hideMark/>
          </w:tcPr>
          <w:p w14:paraId="7829366C" w14:textId="77777777" w:rsidR="003B6BC7" w:rsidRDefault="003B6BC7">
            <w:pPr>
              <w:rPr>
                <w:rFonts w:eastAsia="Times New Roman"/>
              </w:rPr>
            </w:pPr>
            <w:r>
              <w:rPr>
                <w:rFonts w:eastAsia="Times New Roman"/>
              </w:rPr>
              <w:t>Reunification after treatment</w:t>
            </w:r>
          </w:p>
        </w:tc>
        <w:tc>
          <w:tcPr>
            <w:tcW w:w="0" w:type="auto"/>
            <w:vAlign w:val="center"/>
            <w:hideMark/>
          </w:tcPr>
          <w:p w14:paraId="6019B5C2" w14:textId="77777777" w:rsidR="003B6BC7" w:rsidRDefault="003B6BC7">
            <w:pPr>
              <w:rPr>
                <w:rFonts w:eastAsia="Times New Roman"/>
              </w:rPr>
            </w:pPr>
            <w:r>
              <w:rPr>
                <w:rFonts w:eastAsia="Times New Roman"/>
              </w:rPr>
              <w:t>Wash. Rev. Code §13.34.180; NCSL</w:t>
            </w:r>
          </w:p>
        </w:tc>
      </w:tr>
    </w:tbl>
    <w:p w14:paraId="2E6AB43C" w14:textId="77777777" w:rsidR="003B6BC7" w:rsidRDefault="003B6BC7">
      <w:pPr>
        <w:pStyle w:val="NormalWeb"/>
      </w:pPr>
      <w:r>
        <w:t>To access the full 50</w:t>
      </w:r>
      <w:r>
        <w:noBreakHyphen/>
        <w:t xml:space="preserve">state chart—including detailed statutory language, burden of proof, and variations in remedy—you should refer to the </w:t>
      </w:r>
      <w:r>
        <w:rPr>
          <w:rStyle w:val="Strong"/>
        </w:rPr>
        <w:t>NCSL Parental Rights &amp; Sexual Assault chart</w:t>
      </w:r>
      <w:r>
        <w:t>:</w:t>
      </w:r>
      <w:r>
        <w:br/>
      </w:r>
      <w:hyperlink r:id="rId10" w:history="1">
        <w:r>
          <w:rPr>
            <w:rStyle w:val="Hyperlink"/>
          </w:rPr>
          <w:t>https://www.ncsl.org/human-services/parental-rights-and-sexual-assault</w:t>
        </w:r>
      </w:hyperlink>
      <w:r>
        <w:t xml:space="preserve"> (</w:t>
      </w:r>
      <w:hyperlink r:id="rId11" w:tooltip="Summary Parental Rights and Sexual Assault" w:history="1">
        <w:r>
          <w:rPr>
            <w:rStyle w:val="Hyperlink"/>
          </w:rPr>
          <w:t>NCSL</w:t>
        </w:r>
      </w:hyperlink>
      <w:r>
        <w:t>)</w:t>
      </w:r>
    </w:p>
    <w:p w14:paraId="4E91289B" w14:textId="7850E24E" w:rsidR="003B6BC7" w:rsidRDefault="003B6BC7">
      <w:pPr>
        <w:rPr>
          <w:rFonts w:eastAsia="Times New Roman"/>
        </w:rPr>
      </w:pPr>
    </w:p>
    <w:p w14:paraId="31CF8EBD" w14:textId="77777777" w:rsidR="003B6BC7" w:rsidRDefault="003B6BC7">
      <w:pPr>
        <w:pStyle w:val="Heading2"/>
        <w:rPr>
          <w:rFonts w:eastAsia="Times New Roman"/>
        </w:rPr>
      </w:pPr>
      <w:r>
        <w:rPr>
          <w:rFonts w:eastAsia="Times New Roman"/>
        </w:rPr>
        <w:t>7. Court Tools: TROs, Supervised Visitation &amp; Safety Plans</w:t>
      </w:r>
    </w:p>
    <w:p w14:paraId="02A3A6A1" w14:textId="77777777" w:rsidR="003B6BC7" w:rsidRDefault="003B6BC7">
      <w:pPr>
        <w:pStyle w:val="NormalWeb"/>
        <w:numPr>
          <w:ilvl w:val="0"/>
          <w:numId w:val="10"/>
        </w:numPr>
      </w:pPr>
      <w:r>
        <w:rPr>
          <w:rStyle w:val="Strong"/>
        </w:rPr>
        <w:t>Temporary Restraining Orders (TROs):</w:t>
      </w:r>
      <w:r>
        <w:t xml:space="preserve"> Courts may issue TROs to suspend or limit parent access while allegations are pending.</w:t>
      </w:r>
    </w:p>
    <w:p w14:paraId="5B3C2A48" w14:textId="77777777" w:rsidR="003B6BC7" w:rsidRDefault="003B6BC7">
      <w:pPr>
        <w:pStyle w:val="NormalWeb"/>
        <w:numPr>
          <w:ilvl w:val="0"/>
          <w:numId w:val="10"/>
        </w:numPr>
      </w:pPr>
      <w:r>
        <w:rPr>
          <w:rStyle w:val="Strong"/>
        </w:rPr>
        <w:t>Supervised Visitation:</w:t>
      </w:r>
      <w:r>
        <w:t xml:space="preserve"> Common court response in sexual abuse cases when full termination is not yet warranted.</w:t>
      </w:r>
    </w:p>
    <w:p w14:paraId="2E2EE40D" w14:textId="77777777" w:rsidR="003B6BC7" w:rsidRDefault="003B6BC7">
      <w:pPr>
        <w:pStyle w:val="NormalWeb"/>
        <w:numPr>
          <w:ilvl w:val="0"/>
          <w:numId w:val="10"/>
        </w:numPr>
      </w:pPr>
      <w:r>
        <w:rPr>
          <w:rStyle w:val="Strong"/>
        </w:rPr>
        <w:t>Safety Plans:</w:t>
      </w:r>
      <w:r>
        <w:t xml:space="preserve"> Courts may order structured procedures such as neutral drop-off sites, monitored visits, phased escalation, and therapist oversight.</w:t>
      </w:r>
    </w:p>
    <w:p w14:paraId="57EF93AC" w14:textId="77777777" w:rsidR="003B6BC7" w:rsidRDefault="003B6BC7">
      <w:pPr>
        <w:pStyle w:val="NormalWeb"/>
        <w:numPr>
          <w:ilvl w:val="0"/>
          <w:numId w:val="10"/>
        </w:numPr>
      </w:pPr>
      <w:r>
        <w:rPr>
          <w:rStyle w:val="Emphasis"/>
        </w:rPr>
        <w:t>Judicial guides</w:t>
      </w:r>
      <w:r>
        <w:t xml:space="preserve"> frequently emphasize that visitation should only be granted if safety can be reasonably assured.</w:t>
      </w:r>
    </w:p>
    <w:p w14:paraId="1D011C3B" w14:textId="5F9F42AC" w:rsidR="003B6BC7" w:rsidRDefault="003B6BC7">
      <w:pPr>
        <w:rPr>
          <w:rFonts w:eastAsia="Times New Roman"/>
        </w:rPr>
      </w:pPr>
    </w:p>
    <w:p w14:paraId="4EA4C8BE" w14:textId="77777777" w:rsidR="003B6BC7" w:rsidRDefault="003B6BC7">
      <w:pPr>
        <w:pStyle w:val="Heading2"/>
        <w:rPr>
          <w:rFonts w:eastAsia="Times New Roman"/>
        </w:rPr>
      </w:pPr>
      <w:r>
        <w:rPr>
          <w:rFonts w:eastAsia="Times New Roman"/>
        </w:rPr>
        <w:t>8. Mediation in Abuse</w:t>
      </w:r>
      <w:r>
        <w:rPr>
          <w:rFonts w:eastAsia="Times New Roman"/>
        </w:rPr>
        <w:noBreakHyphen/>
        <w:t>Impacted Cases: Benefits &amp; Limits</w:t>
      </w:r>
    </w:p>
    <w:p w14:paraId="22B5FB8A" w14:textId="77777777" w:rsidR="003B6BC7" w:rsidRDefault="003B6BC7">
      <w:pPr>
        <w:pStyle w:val="Heading3"/>
        <w:rPr>
          <w:rFonts w:eastAsia="Times New Roman"/>
        </w:rPr>
      </w:pPr>
      <w:r>
        <w:rPr>
          <w:rFonts w:eastAsia="Times New Roman"/>
        </w:rPr>
        <w:t>Benefits</w:t>
      </w:r>
    </w:p>
    <w:p w14:paraId="3A7FA0CB" w14:textId="77777777" w:rsidR="003B6BC7" w:rsidRDefault="003B6BC7">
      <w:pPr>
        <w:pStyle w:val="NormalWeb"/>
        <w:numPr>
          <w:ilvl w:val="0"/>
          <w:numId w:val="11"/>
        </w:numPr>
      </w:pPr>
      <w:r>
        <w:t>Less adversarial and less emotionally harmful to survivors and children</w:t>
      </w:r>
    </w:p>
    <w:p w14:paraId="4D486669" w14:textId="77777777" w:rsidR="003B6BC7" w:rsidRDefault="003B6BC7">
      <w:pPr>
        <w:pStyle w:val="NormalWeb"/>
        <w:numPr>
          <w:ilvl w:val="0"/>
          <w:numId w:val="11"/>
        </w:numPr>
      </w:pPr>
      <w:r>
        <w:t>Cost-effective compared to full litigation</w:t>
      </w:r>
    </w:p>
    <w:p w14:paraId="6D8D9BBD" w14:textId="77777777" w:rsidR="003B6BC7" w:rsidRDefault="003B6BC7">
      <w:pPr>
        <w:pStyle w:val="NormalWeb"/>
        <w:numPr>
          <w:ilvl w:val="0"/>
          <w:numId w:val="11"/>
        </w:numPr>
      </w:pPr>
      <w:r>
        <w:t>Ability for parties to craft tailored agreements (e.g. phased access, safety triggers)</w:t>
      </w:r>
    </w:p>
    <w:p w14:paraId="6C9C9A71" w14:textId="77777777" w:rsidR="003B6BC7" w:rsidRDefault="003B6BC7">
      <w:pPr>
        <w:pStyle w:val="NormalWeb"/>
        <w:numPr>
          <w:ilvl w:val="0"/>
          <w:numId w:val="11"/>
        </w:numPr>
      </w:pPr>
      <w:r>
        <w:t>Agreements may be submitted to court and converted to enforceable orders</w:t>
      </w:r>
    </w:p>
    <w:p w14:paraId="4EDDD9C2" w14:textId="77777777" w:rsidR="003B6BC7" w:rsidRDefault="003B6BC7">
      <w:pPr>
        <w:pStyle w:val="NormalWeb"/>
        <w:numPr>
          <w:ilvl w:val="0"/>
          <w:numId w:val="11"/>
        </w:numPr>
      </w:pPr>
      <w:r>
        <w:t>Reduces backlog, frees up legal services and court resources</w:t>
      </w:r>
    </w:p>
    <w:p w14:paraId="2FF7D94B" w14:textId="77777777" w:rsidR="003B6BC7" w:rsidRDefault="003B6BC7">
      <w:pPr>
        <w:pStyle w:val="Heading3"/>
        <w:rPr>
          <w:rFonts w:eastAsia="Times New Roman"/>
        </w:rPr>
      </w:pPr>
      <w:r>
        <w:rPr>
          <w:rFonts w:eastAsia="Times New Roman"/>
        </w:rPr>
        <w:t>Limits &amp; Necessary Safeguards</w:t>
      </w:r>
    </w:p>
    <w:p w14:paraId="5257E8B6" w14:textId="77777777" w:rsidR="003B6BC7" w:rsidRDefault="003B6BC7">
      <w:pPr>
        <w:pStyle w:val="NormalWeb"/>
        <w:numPr>
          <w:ilvl w:val="0"/>
          <w:numId w:val="12"/>
        </w:numPr>
      </w:pPr>
      <w:r>
        <w:t>Not appropriate when there is ongoing threat, significant imbalance, or lack of safety</w:t>
      </w:r>
    </w:p>
    <w:p w14:paraId="11877F7D" w14:textId="77777777" w:rsidR="003B6BC7" w:rsidRDefault="003B6BC7">
      <w:pPr>
        <w:pStyle w:val="NormalWeb"/>
        <w:numPr>
          <w:ilvl w:val="0"/>
          <w:numId w:val="12"/>
        </w:numPr>
      </w:pPr>
      <w:r>
        <w:t xml:space="preserve">Must use </w:t>
      </w:r>
      <w:r>
        <w:rPr>
          <w:rStyle w:val="Strong"/>
        </w:rPr>
        <w:t>trauma-informed mediators</w:t>
      </w:r>
      <w:r>
        <w:t>, with separate caucus sessions, safety protocols, exit strategies</w:t>
      </w:r>
    </w:p>
    <w:p w14:paraId="16328B12" w14:textId="77777777" w:rsidR="003B6BC7" w:rsidRDefault="003B6BC7">
      <w:pPr>
        <w:pStyle w:val="NormalWeb"/>
        <w:numPr>
          <w:ilvl w:val="0"/>
          <w:numId w:val="12"/>
        </w:numPr>
      </w:pPr>
      <w:r>
        <w:t>Mediation should not force reconciliation or minimize abuse</w:t>
      </w:r>
    </w:p>
    <w:p w14:paraId="2C0DEEE8" w14:textId="6A7C29AC" w:rsidR="003B6BC7" w:rsidRDefault="003B6BC7">
      <w:pPr>
        <w:rPr>
          <w:rFonts w:eastAsia="Times New Roman"/>
        </w:rPr>
      </w:pPr>
    </w:p>
    <w:p w14:paraId="2D930B0E" w14:textId="77777777" w:rsidR="003B6BC7" w:rsidRDefault="003B6BC7">
      <w:pPr>
        <w:pStyle w:val="Heading2"/>
        <w:rPr>
          <w:rFonts w:eastAsia="Times New Roman"/>
        </w:rPr>
      </w:pPr>
      <w:r>
        <w:rPr>
          <w:rFonts w:eastAsia="Times New Roman"/>
        </w:rPr>
        <w:t>9. Parental Alienation vs. Credible Fear</w:t>
      </w:r>
    </w:p>
    <w:p w14:paraId="7D1BEA94" w14:textId="77777777" w:rsidR="003B6BC7" w:rsidRDefault="003B6BC7">
      <w:pPr>
        <w:pStyle w:val="NormalWeb"/>
        <w:numPr>
          <w:ilvl w:val="0"/>
          <w:numId w:val="13"/>
        </w:numPr>
      </w:pPr>
      <w:r>
        <w:t>Claims of parental alienation often arise in custody disputes when a child resists contact</w:t>
      </w:r>
    </w:p>
    <w:p w14:paraId="33032F72" w14:textId="77777777" w:rsidR="003B6BC7" w:rsidRDefault="003B6BC7">
      <w:pPr>
        <w:pStyle w:val="NormalWeb"/>
        <w:numPr>
          <w:ilvl w:val="0"/>
          <w:numId w:val="13"/>
        </w:numPr>
      </w:pPr>
      <w:r>
        <w:t xml:space="preserve">Courts increasingly recognize the difference between </w:t>
      </w:r>
      <w:r>
        <w:rPr>
          <w:rStyle w:val="Strong"/>
        </w:rPr>
        <w:t>trauma-based avoidance</w:t>
      </w:r>
      <w:r>
        <w:t xml:space="preserve"> (fear rooted in abuse) and </w:t>
      </w:r>
      <w:r>
        <w:rPr>
          <w:rStyle w:val="Strong"/>
        </w:rPr>
        <w:t>manipulation / coaching</w:t>
      </w:r>
    </w:p>
    <w:p w14:paraId="1C3FEFAC" w14:textId="77777777" w:rsidR="003B6BC7" w:rsidRDefault="003B6BC7">
      <w:pPr>
        <w:pStyle w:val="NormalWeb"/>
        <w:numPr>
          <w:ilvl w:val="0"/>
          <w:numId w:val="13"/>
        </w:numPr>
      </w:pPr>
      <w:r>
        <w:t>Legal trends (e.g., under new statutory frameworks like Kayden’s Law) prioritize child safety over generalized access presumptions</w:t>
      </w:r>
    </w:p>
    <w:p w14:paraId="5BDA695B" w14:textId="0C1980AE" w:rsidR="003B6BC7" w:rsidRDefault="003B6BC7">
      <w:pPr>
        <w:pStyle w:val="NormalWeb"/>
        <w:numPr>
          <w:ilvl w:val="0"/>
          <w:numId w:val="13"/>
        </w:numPr>
      </w:pPr>
      <w:r>
        <w:t>Judges now require evidence</w:t>
      </w:r>
      <w:r w:rsidR="000D6425">
        <w:t xml:space="preserve"> </w:t>
      </w:r>
      <w:r>
        <w:t>not merely accusations</w:t>
      </w:r>
      <w:r w:rsidR="000D6425">
        <w:t xml:space="preserve"> </w:t>
      </w:r>
      <w:r>
        <w:t>to support alienation claims in abuse contexts</w:t>
      </w:r>
    </w:p>
    <w:p w14:paraId="6508BA06" w14:textId="77777777" w:rsidR="003B6BC7" w:rsidRDefault="003B6BC7">
      <w:pPr>
        <w:rPr>
          <w:rFonts w:eastAsia="Times New Roman"/>
        </w:rPr>
      </w:pPr>
      <w:r>
        <w:rPr>
          <w:rFonts w:eastAsia="Times New Roman"/>
          <w:noProof/>
        </w:rPr>
        <mc:AlternateContent>
          <mc:Choice Requires="wps">
            <w:drawing>
              <wp:inline distT="0" distB="0" distL="0" distR="0" wp14:anchorId="0DE167DF" wp14:editId="1B5A9208">
                <wp:extent cx="5943600" cy="1270"/>
                <wp:effectExtent l="0" t="31750" r="0" b="36830"/>
                <wp:docPr id="18361580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9D11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D55C96" w14:textId="77777777" w:rsidR="003B6BC7" w:rsidRDefault="003B6BC7">
      <w:pPr>
        <w:pStyle w:val="Heading2"/>
        <w:rPr>
          <w:rFonts w:eastAsia="Times New Roman"/>
        </w:rPr>
      </w:pPr>
      <w:r>
        <w:rPr>
          <w:rFonts w:eastAsia="Times New Roman"/>
        </w:rPr>
        <w:t>10. Child Refusal &amp; Court Interpretation</w:t>
      </w:r>
    </w:p>
    <w:p w14:paraId="064DA942" w14:textId="77777777" w:rsidR="003B6BC7" w:rsidRDefault="003B6BC7">
      <w:pPr>
        <w:pStyle w:val="NormalWeb"/>
        <w:numPr>
          <w:ilvl w:val="0"/>
          <w:numId w:val="14"/>
        </w:numPr>
      </w:pPr>
      <w:r>
        <w:t xml:space="preserve">The weight given to a child’s stated preference depends on </w:t>
      </w:r>
      <w:r>
        <w:rPr>
          <w:rStyle w:val="Strong"/>
        </w:rPr>
        <w:t>age, maturity, consistency, and supporting evidence</w:t>
      </w:r>
    </w:p>
    <w:p w14:paraId="6C62F661" w14:textId="77777777" w:rsidR="003B6BC7" w:rsidRDefault="003B6BC7">
      <w:pPr>
        <w:pStyle w:val="NormalWeb"/>
        <w:numPr>
          <w:ilvl w:val="0"/>
          <w:numId w:val="14"/>
        </w:numPr>
      </w:pPr>
      <w:r>
        <w:t>Courts look for:</w:t>
      </w:r>
    </w:p>
    <w:p w14:paraId="2B92EA4A" w14:textId="77777777" w:rsidR="003B6BC7" w:rsidRDefault="003B6BC7">
      <w:pPr>
        <w:pStyle w:val="NormalWeb"/>
        <w:numPr>
          <w:ilvl w:val="1"/>
          <w:numId w:val="14"/>
        </w:numPr>
      </w:pPr>
      <w:r>
        <w:t>Consistency in refusal over time</w:t>
      </w:r>
    </w:p>
    <w:p w14:paraId="3E32E6E2" w14:textId="77777777" w:rsidR="003B6BC7" w:rsidRDefault="003B6BC7">
      <w:pPr>
        <w:pStyle w:val="NormalWeb"/>
        <w:numPr>
          <w:ilvl w:val="1"/>
          <w:numId w:val="14"/>
        </w:numPr>
      </w:pPr>
      <w:r>
        <w:t>Therapist or evaluator testimony confirming fear or trauma</w:t>
      </w:r>
    </w:p>
    <w:p w14:paraId="41D04950" w14:textId="77777777" w:rsidR="003B6BC7" w:rsidRDefault="003B6BC7">
      <w:pPr>
        <w:pStyle w:val="NormalWeb"/>
        <w:numPr>
          <w:ilvl w:val="1"/>
          <w:numId w:val="14"/>
        </w:numPr>
      </w:pPr>
      <w:r>
        <w:t>CPS, medical, or forensic documentation</w:t>
      </w:r>
    </w:p>
    <w:p w14:paraId="6E995A67" w14:textId="77777777" w:rsidR="003B6BC7" w:rsidRDefault="003B6BC7">
      <w:pPr>
        <w:pStyle w:val="NormalWeb"/>
        <w:numPr>
          <w:ilvl w:val="0"/>
          <w:numId w:val="14"/>
        </w:numPr>
      </w:pPr>
      <w:r>
        <w:t>Without such support, a child's refusal may be interpreted by the opposing side as evidence of alienation</w:t>
      </w:r>
    </w:p>
    <w:p w14:paraId="0C2E012E" w14:textId="7E3D150F" w:rsidR="003B6BC7" w:rsidRDefault="003B6BC7">
      <w:pPr>
        <w:rPr>
          <w:rFonts w:eastAsia="Times New Roman"/>
        </w:rPr>
      </w:pPr>
    </w:p>
    <w:p w14:paraId="5BEFFA6E" w14:textId="77777777" w:rsidR="003B6BC7" w:rsidRDefault="003B6BC7">
      <w:pPr>
        <w:pStyle w:val="Heading2"/>
        <w:rPr>
          <w:rFonts w:eastAsia="Times New Roman"/>
        </w:rPr>
      </w:pPr>
      <w:r>
        <w:rPr>
          <w:rFonts w:eastAsia="Times New Roman"/>
        </w:rPr>
        <w:t>11. National Trends &amp; Family Law Reform</w:t>
      </w:r>
    </w:p>
    <w:p w14:paraId="20673B0F" w14:textId="77777777" w:rsidR="003B6BC7" w:rsidRDefault="003B6BC7">
      <w:pPr>
        <w:pStyle w:val="NormalWeb"/>
        <w:numPr>
          <w:ilvl w:val="0"/>
          <w:numId w:val="15"/>
        </w:numPr>
      </w:pPr>
      <w:r>
        <w:t xml:space="preserve">Greater adoption of </w:t>
      </w:r>
      <w:r>
        <w:rPr>
          <w:rStyle w:val="Strong"/>
        </w:rPr>
        <w:t>trauma-informed custody evaluations</w:t>
      </w:r>
      <w:r>
        <w:t>, especially in cases with domestic violence or abuse</w:t>
      </w:r>
    </w:p>
    <w:p w14:paraId="335173E9" w14:textId="77777777" w:rsidR="003B6BC7" w:rsidRDefault="003B6BC7">
      <w:pPr>
        <w:pStyle w:val="NormalWeb"/>
        <w:numPr>
          <w:ilvl w:val="0"/>
          <w:numId w:val="15"/>
        </w:numPr>
      </w:pPr>
      <w:r>
        <w:t xml:space="preserve">Emphasis on </w:t>
      </w:r>
      <w:r>
        <w:rPr>
          <w:rStyle w:val="Strong"/>
        </w:rPr>
        <w:t>secondary abuse</w:t>
      </w:r>
      <w:r>
        <w:t>, meaning courts increasingly consider harm when children witness violence</w:t>
      </w:r>
    </w:p>
    <w:p w14:paraId="56D873BB" w14:textId="77777777" w:rsidR="003B6BC7" w:rsidRDefault="003B6BC7">
      <w:pPr>
        <w:pStyle w:val="NormalWeb"/>
        <w:numPr>
          <w:ilvl w:val="0"/>
          <w:numId w:val="15"/>
        </w:numPr>
      </w:pPr>
      <w:r>
        <w:t xml:space="preserve">Critical scholarship on </w:t>
      </w:r>
      <w:r>
        <w:rPr>
          <w:rStyle w:val="Strong"/>
        </w:rPr>
        <w:t>overuse of TPR</w:t>
      </w:r>
      <w:r>
        <w:t xml:space="preserve"> and problems with coercive use of termination</w:t>
      </w:r>
    </w:p>
    <w:p w14:paraId="48DCAEB7" w14:textId="77777777" w:rsidR="003B6BC7" w:rsidRDefault="003B6BC7">
      <w:pPr>
        <w:pStyle w:val="NormalWeb"/>
        <w:numPr>
          <w:ilvl w:val="0"/>
          <w:numId w:val="15"/>
        </w:numPr>
      </w:pPr>
      <w:r>
        <w:t xml:space="preserve">Legislative reforms like the </w:t>
      </w:r>
      <w:r>
        <w:rPr>
          <w:rStyle w:val="Strong"/>
        </w:rPr>
        <w:t>Rape Survivor Child Custody Act</w:t>
      </w:r>
      <w:r>
        <w:t xml:space="preserve"> incentivize states to adopt laws permitting termination of rapist parental rights (</w:t>
      </w:r>
      <w:hyperlink r:id="rId12" w:tooltip="Summary Parental Rights and Sexual Assault" w:history="1">
        <w:r>
          <w:rPr>
            <w:rStyle w:val="Hyperlink"/>
          </w:rPr>
          <w:t>NCSL</w:t>
        </w:r>
      </w:hyperlink>
      <w:r>
        <w:t>)</w:t>
      </w:r>
    </w:p>
    <w:p w14:paraId="55277DE4" w14:textId="77777777" w:rsidR="003B6BC7" w:rsidRDefault="003B6BC7">
      <w:pPr>
        <w:pStyle w:val="NormalWeb"/>
        <w:numPr>
          <w:ilvl w:val="0"/>
          <w:numId w:val="15"/>
        </w:numPr>
      </w:pPr>
      <w:r>
        <w:t>Policy proposals include safe-access statutes, funding for supervised visitation centers, and judicial training in domestic violence dynamics</w:t>
      </w:r>
    </w:p>
    <w:p w14:paraId="671584BE" w14:textId="29F9DEB2" w:rsidR="003B6BC7" w:rsidRDefault="003B6BC7">
      <w:pPr>
        <w:rPr>
          <w:rFonts w:eastAsia="Times New Roman"/>
        </w:rPr>
      </w:pPr>
    </w:p>
    <w:p w14:paraId="3F9262F6" w14:textId="77777777" w:rsidR="003B6BC7" w:rsidRDefault="003B6BC7">
      <w:pPr>
        <w:pStyle w:val="Heading2"/>
        <w:rPr>
          <w:rFonts w:eastAsia="Times New Roman"/>
        </w:rPr>
      </w:pPr>
      <w:r>
        <w:rPr>
          <w:rFonts w:eastAsia="Times New Roman"/>
        </w:rPr>
        <w:t>12. Supporting Survivor Parents: Practical Tools</w:t>
      </w:r>
    </w:p>
    <w:p w14:paraId="6DEB4D75" w14:textId="77777777" w:rsidR="003B6BC7" w:rsidRDefault="003B6BC7">
      <w:pPr>
        <w:pStyle w:val="NormalWeb"/>
        <w:numPr>
          <w:ilvl w:val="0"/>
          <w:numId w:val="16"/>
        </w:numPr>
      </w:pPr>
      <w:r>
        <w:t xml:space="preserve">Assist clients in </w:t>
      </w:r>
      <w:r>
        <w:rPr>
          <w:rStyle w:val="Strong"/>
        </w:rPr>
        <w:t>collecting, preserving, and organizing evidence</w:t>
      </w:r>
      <w:r>
        <w:t>: CPS reports, forensic interviews, medical/therapeutic records</w:t>
      </w:r>
    </w:p>
    <w:p w14:paraId="77077664" w14:textId="77777777" w:rsidR="003B6BC7" w:rsidRDefault="003B6BC7">
      <w:pPr>
        <w:pStyle w:val="NormalWeb"/>
        <w:numPr>
          <w:ilvl w:val="0"/>
          <w:numId w:val="16"/>
        </w:numPr>
      </w:pPr>
      <w:r>
        <w:t>Advise clients not to unilaterally withhold contact without court order</w:t>
      </w:r>
    </w:p>
    <w:p w14:paraId="7455C1F3" w14:textId="77777777" w:rsidR="003B6BC7" w:rsidRDefault="003B6BC7">
      <w:pPr>
        <w:pStyle w:val="NormalWeb"/>
        <w:numPr>
          <w:ilvl w:val="0"/>
          <w:numId w:val="16"/>
        </w:numPr>
      </w:pPr>
      <w:r>
        <w:t xml:space="preserve">Proactively prepare for possible </w:t>
      </w:r>
      <w:r>
        <w:rPr>
          <w:rStyle w:val="Strong"/>
        </w:rPr>
        <w:t>alienation counterclaims</w:t>
      </w:r>
      <w:r>
        <w:t xml:space="preserve"> by ensuring documentation and expert support</w:t>
      </w:r>
    </w:p>
    <w:p w14:paraId="18FE8F93" w14:textId="77777777" w:rsidR="003B6BC7" w:rsidRDefault="003B6BC7">
      <w:pPr>
        <w:pStyle w:val="NormalWeb"/>
        <w:numPr>
          <w:ilvl w:val="0"/>
          <w:numId w:val="16"/>
        </w:numPr>
      </w:pPr>
      <w:r>
        <w:t>Encourage compliance with court</w:t>
      </w:r>
      <w:r>
        <w:noBreakHyphen/>
        <w:t>ordered therapy, evaluations, and safety measures</w:t>
      </w:r>
    </w:p>
    <w:p w14:paraId="78D6BD76" w14:textId="77777777" w:rsidR="003B6BC7" w:rsidRDefault="003B6BC7">
      <w:pPr>
        <w:pStyle w:val="NormalWeb"/>
        <w:numPr>
          <w:ilvl w:val="0"/>
          <w:numId w:val="16"/>
        </w:numPr>
      </w:pPr>
      <w:r>
        <w:t>Help clients understand the timeline and burden of proof in abuse and custody cases</w:t>
      </w:r>
    </w:p>
    <w:p w14:paraId="612F4782" w14:textId="5C7EE711" w:rsidR="003B6BC7" w:rsidRDefault="003B6BC7">
      <w:pPr>
        <w:rPr>
          <w:rFonts w:eastAsia="Times New Roman"/>
        </w:rPr>
      </w:pPr>
    </w:p>
    <w:p w14:paraId="6DD738CA" w14:textId="77777777" w:rsidR="003B6BC7" w:rsidRDefault="003B6BC7">
      <w:pPr>
        <w:pStyle w:val="Heading2"/>
        <w:rPr>
          <w:rFonts w:eastAsia="Times New Roman"/>
        </w:rPr>
      </w:pPr>
      <w:r>
        <w:rPr>
          <w:rFonts w:eastAsia="Times New Roman"/>
        </w:rPr>
        <w:t>13. Red Flags: When Mediation is Not Appropriate</w:t>
      </w:r>
    </w:p>
    <w:p w14:paraId="74AA932B" w14:textId="77777777" w:rsidR="003B6BC7" w:rsidRDefault="003B6BC7">
      <w:pPr>
        <w:pStyle w:val="NormalWeb"/>
      </w:pPr>
      <w:r>
        <w:t>Avoid mediation in these scenarios:</w:t>
      </w:r>
    </w:p>
    <w:p w14:paraId="4EDCC724" w14:textId="77777777" w:rsidR="003B6BC7" w:rsidRDefault="003B6BC7">
      <w:pPr>
        <w:pStyle w:val="NormalWeb"/>
        <w:numPr>
          <w:ilvl w:val="0"/>
          <w:numId w:val="17"/>
        </w:numPr>
      </w:pPr>
      <w:r>
        <w:t>Active restraining orders or ongoing violence</w:t>
      </w:r>
    </w:p>
    <w:p w14:paraId="06D086ED" w14:textId="77777777" w:rsidR="003B6BC7" w:rsidRDefault="003B6BC7">
      <w:pPr>
        <w:pStyle w:val="NormalWeb"/>
        <w:numPr>
          <w:ilvl w:val="0"/>
          <w:numId w:val="17"/>
        </w:numPr>
      </w:pPr>
      <w:r>
        <w:t>Recent sexual abuse or threat</w:t>
      </w:r>
    </w:p>
    <w:p w14:paraId="08D4D338" w14:textId="77777777" w:rsidR="003B6BC7" w:rsidRDefault="003B6BC7">
      <w:pPr>
        <w:pStyle w:val="NormalWeb"/>
        <w:numPr>
          <w:ilvl w:val="0"/>
          <w:numId w:val="17"/>
        </w:numPr>
      </w:pPr>
      <w:r>
        <w:t>Lack of belief by the abusive parent in needing to rehabilitate</w:t>
      </w:r>
    </w:p>
    <w:p w14:paraId="67B7C9C2" w14:textId="77777777" w:rsidR="003B6BC7" w:rsidRDefault="003B6BC7">
      <w:pPr>
        <w:pStyle w:val="NormalWeb"/>
        <w:numPr>
          <w:ilvl w:val="0"/>
          <w:numId w:val="17"/>
        </w:numPr>
      </w:pPr>
      <w:r>
        <w:t>Child in acute distress or PTSD symptoms</w:t>
      </w:r>
    </w:p>
    <w:p w14:paraId="10C3FD15" w14:textId="77777777" w:rsidR="003B6BC7" w:rsidRDefault="003B6BC7">
      <w:pPr>
        <w:pStyle w:val="NormalWeb"/>
        <w:numPr>
          <w:ilvl w:val="0"/>
          <w:numId w:val="17"/>
        </w:numPr>
      </w:pPr>
      <w:r>
        <w:t>Power imbalances that mediation cannot mitigate</w:t>
      </w:r>
    </w:p>
    <w:p w14:paraId="49D0CDCB" w14:textId="1F48F3C8" w:rsidR="003B6BC7" w:rsidRDefault="003B6BC7">
      <w:pPr>
        <w:rPr>
          <w:rFonts w:eastAsia="Times New Roman"/>
        </w:rPr>
      </w:pPr>
    </w:p>
    <w:p w14:paraId="6A73C34E" w14:textId="77777777" w:rsidR="003B6BC7" w:rsidRDefault="003B6BC7">
      <w:pPr>
        <w:pStyle w:val="Heading2"/>
        <w:rPr>
          <w:rFonts w:eastAsia="Times New Roman"/>
        </w:rPr>
      </w:pPr>
      <w:r>
        <w:rPr>
          <w:rFonts w:eastAsia="Times New Roman"/>
        </w:rPr>
        <w:t>14. Practice Checklists &amp; Intake Tools</w:t>
      </w:r>
    </w:p>
    <w:p w14:paraId="76186A03" w14:textId="77777777" w:rsidR="003B6BC7" w:rsidRDefault="003B6BC7">
      <w:pPr>
        <w:pStyle w:val="Heading3"/>
        <w:rPr>
          <w:rFonts w:eastAsia="Times New Roman"/>
        </w:rPr>
      </w:pPr>
      <w:r>
        <w:rPr>
          <w:rFonts w:eastAsia="Times New Roman"/>
        </w:rPr>
        <w:t>Mediation Screening Checklist</w:t>
      </w:r>
    </w:p>
    <w:p w14:paraId="21A7FDC3" w14:textId="77777777" w:rsidR="003B6BC7" w:rsidRDefault="003B6BC7">
      <w:pPr>
        <w:pStyle w:val="NormalWeb"/>
        <w:numPr>
          <w:ilvl w:val="0"/>
          <w:numId w:val="18"/>
        </w:numPr>
      </w:pPr>
      <w:r>
        <w:t>No ongoing DV or abuse risk</w:t>
      </w:r>
    </w:p>
    <w:p w14:paraId="44BEE14E" w14:textId="77777777" w:rsidR="003B6BC7" w:rsidRDefault="003B6BC7">
      <w:pPr>
        <w:pStyle w:val="NormalWeb"/>
        <w:numPr>
          <w:ilvl w:val="0"/>
          <w:numId w:val="18"/>
        </w:numPr>
      </w:pPr>
      <w:r>
        <w:t>CPS case resolved or under control</w:t>
      </w:r>
    </w:p>
    <w:p w14:paraId="69D64167" w14:textId="77777777" w:rsidR="003B6BC7" w:rsidRDefault="003B6BC7">
      <w:pPr>
        <w:pStyle w:val="NormalWeb"/>
        <w:numPr>
          <w:ilvl w:val="0"/>
          <w:numId w:val="18"/>
        </w:numPr>
      </w:pPr>
      <w:r>
        <w:t>Mediator trained in trauma and power dynamics</w:t>
      </w:r>
    </w:p>
    <w:p w14:paraId="5B9804FA" w14:textId="77777777" w:rsidR="003B6BC7" w:rsidRDefault="003B6BC7">
      <w:pPr>
        <w:pStyle w:val="NormalWeb"/>
        <w:numPr>
          <w:ilvl w:val="0"/>
          <w:numId w:val="18"/>
        </w:numPr>
      </w:pPr>
      <w:r>
        <w:t>Separate caucus options available</w:t>
      </w:r>
    </w:p>
    <w:p w14:paraId="7203CE9F" w14:textId="77777777" w:rsidR="003B6BC7" w:rsidRDefault="003B6BC7">
      <w:pPr>
        <w:pStyle w:val="NormalWeb"/>
        <w:numPr>
          <w:ilvl w:val="0"/>
          <w:numId w:val="18"/>
        </w:numPr>
      </w:pPr>
      <w:r>
        <w:t>Safety exit and fallback protocols in place</w:t>
      </w:r>
    </w:p>
    <w:p w14:paraId="171AA7DE" w14:textId="77777777" w:rsidR="003B6BC7" w:rsidRDefault="003B6BC7">
      <w:pPr>
        <w:pStyle w:val="Heading3"/>
        <w:rPr>
          <w:rFonts w:eastAsia="Times New Roman"/>
        </w:rPr>
      </w:pPr>
      <w:r>
        <w:rPr>
          <w:rFonts w:eastAsia="Times New Roman"/>
        </w:rPr>
        <w:t>Sample Supervised Visitation Plan</w:t>
      </w:r>
    </w:p>
    <w:p w14:paraId="74A6BE18" w14:textId="77777777" w:rsidR="003B6BC7" w:rsidRDefault="003B6BC7">
      <w:pPr>
        <w:pStyle w:val="NormalWeb"/>
        <w:numPr>
          <w:ilvl w:val="0"/>
          <w:numId w:val="19"/>
        </w:numPr>
      </w:pPr>
      <w:r>
        <w:t>Neutral site, agency or court-based</w:t>
      </w:r>
    </w:p>
    <w:p w14:paraId="3BD7A5BD" w14:textId="77777777" w:rsidR="003B6BC7" w:rsidRDefault="003B6BC7">
      <w:pPr>
        <w:pStyle w:val="NormalWeb"/>
        <w:numPr>
          <w:ilvl w:val="0"/>
          <w:numId w:val="19"/>
        </w:numPr>
      </w:pPr>
      <w:r>
        <w:t>Trained supervisor who is not family</w:t>
      </w:r>
    </w:p>
    <w:p w14:paraId="5AFE29A3" w14:textId="77777777" w:rsidR="003B6BC7" w:rsidRDefault="003B6BC7">
      <w:pPr>
        <w:pStyle w:val="NormalWeb"/>
        <w:numPr>
          <w:ilvl w:val="0"/>
          <w:numId w:val="19"/>
        </w:numPr>
      </w:pPr>
      <w:r>
        <w:t>Short visits initially (1–2 hours weekly)</w:t>
      </w:r>
    </w:p>
    <w:p w14:paraId="63903438" w14:textId="77777777" w:rsidR="003B6BC7" w:rsidRDefault="003B6BC7">
      <w:pPr>
        <w:pStyle w:val="NormalWeb"/>
        <w:numPr>
          <w:ilvl w:val="0"/>
          <w:numId w:val="19"/>
        </w:numPr>
      </w:pPr>
      <w:r>
        <w:t>Written reports submitted to court</w:t>
      </w:r>
    </w:p>
    <w:p w14:paraId="2E3038AA" w14:textId="77777777" w:rsidR="003B6BC7" w:rsidRDefault="003B6BC7">
      <w:pPr>
        <w:pStyle w:val="NormalWeb"/>
        <w:numPr>
          <w:ilvl w:val="0"/>
          <w:numId w:val="19"/>
        </w:numPr>
      </w:pPr>
      <w:r>
        <w:t>Gradual escalation if no incident</w:t>
      </w:r>
    </w:p>
    <w:p w14:paraId="0AFA8FF4" w14:textId="04E6FEBB" w:rsidR="003B6BC7" w:rsidRDefault="003B6BC7">
      <w:pPr>
        <w:rPr>
          <w:rFonts w:eastAsia="Times New Roman"/>
        </w:rPr>
      </w:pPr>
    </w:p>
    <w:p w14:paraId="49712DFA" w14:textId="77777777" w:rsidR="003B6BC7" w:rsidRDefault="003B6BC7">
      <w:pPr>
        <w:pStyle w:val="Heading2"/>
        <w:rPr>
          <w:rFonts w:eastAsia="Times New Roman"/>
        </w:rPr>
      </w:pPr>
      <w:r>
        <w:rPr>
          <w:rFonts w:eastAsia="Times New Roman"/>
        </w:rPr>
        <w:t>15. Suggested Reading &amp; Research</w:t>
      </w:r>
    </w:p>
    <w:p w14:paraId="15FD9B5A" w14:textId="77777777" w:rsidR="003B6BC7" w:rsidRDefault="003B6BC7">
      <w:pPr>
        <w:pStyle w:val="NormalWeb"/>
        <w:numPr>
          <w:ilvl w:val="0"/>
          <w:numId w:val="20"/>
        </w:numPr>
      </w:pPr>
      <w:r>
        <w:rPr>
          <w:rStyle w:val="Emphasis"/>
        </w:rPr>
        <w:t>Judicial Guide to Child Safety in Custody Cases</w:t>
      </w:r>
      <w:r>
        <w:t xml:space="preserve"> (NCJFCJ)</w:t>
      </w:r>
    </w:p>
    <w:p w14:paraId="3D3D82C5" w14:textId="77777777" w:rsidR="003B6BC7" w:rsidRDefault="003B6BC7">
      <w:pPr>
        <w:pStyle w:val="NormalWeb"/>
        <w:numPr>
          <w:ilvl w:val="0"/>
          <w:numId w:val="20"/>
        </w:numPr>
      </w:pPr>
      <w:r>
        <w:rPr>
          <w:rStyle w:val="Emphasis"/>
        </w:rPr>
        <w:t>Parental Rights &amp; Sexual Assault</w:t>
      </w:r>
      <w:r>
        <w:t xml:space="preserve"> — NCSL 50-State Chart (</w:t>
      </w:r>
      <w:hyperlink r:id="rId13" w:tooltip="Summary Parental Rights and Sexual Assault" w:history="1">
        <w:r>
          <w:rPr>
            <w:rStyle w:val="Hyperlink"/>
          </w:rPr>
          <w:t>NCSL</w:t>
        </w:r>
      </w:hyperlink>
      <w:r>
        <w:t>)</w:t>
      </w:r>
    </w:p>
    <w:p w14:paraId="7BCE8672" w14:textId="77777777" w:rsidR="003B6BC7" w:rsidRDefault="003B6BC7">
      <w:pPr>
        <w:pStyle w:val="NormalWeb"/>
        <w:numPr>
          <w:ilvl w:val="0"/>
          <w:numId w:val="20"/>
        </w:numPr>
      </w:pPr>
      <w:r>
        <w:rPr>
          <w:rStyle w:val="Emphasis"/>
        </w:rPr>
        <w:t>The Problem with Parental Alienation Doctrine</w:t>
      </w:r>
      <w:r>
        <w:t xml:space="preserve"> — Meier</w:t>
      </w:r>
    </w:p>
    <w:p w14:paraId="3D08BD2C" w14:textId="77777777" w:rsidR="003B6BC7" w:rsidRDefault="003B6BC7">
      <w:pPr>
        <w:pStyle w:val="NormalWeb"/>
        <w:numPr>
          <w:ilvl w:val="0"/>
          <w:numId w:val="20"/>
        </w:numPr>
      </w:pPr>
      <w:r>
        <w:rPr>
          <w:rStyle w:val="Emphasis"/>
        </w:rPr>
        <w:t>Overuse of TPR &amp; Child Welfare Critiques</w:t>
      </w:r>
      <w:r>
        <w:t xml:space="preserve"> — </w:t>
      </w:r>
      <w:proofErr w:type="spellStart"/>
      <w:r>
        <w:t>Sankaran</w:t>
      </w:r>
      <w:proofErr w:type="spellEnd"/>
      <w:r>
        <w:t>, Michigan Law</w:t>
      </w:r>
    </w:p>
    <w:p w14:paraId="134E2145" w14:textId="77777777" w:rsidR="003B6BC7" w:rsidRDefault="003B6BC7">
      <w:pPr>
        <w:pStyle w:val="NormalWeb"/>
        <w:numPr>
          <w:ilvl w:val="0"/>
          <w:numId w:val="20"/>
        </w:numPr>
      </w:pPr>
      <w:proofErr w:type="spellStart"/>
      <w:r>
        <w:rPr>
          <w:rStyle w:val="Emphasis"/>
        </w:rPr>
        <w:t>Wildeman</w:t>
      </w:r>
      <w:proofErr w:type="spellEnd"/>
      <w:r>
        <w:rPr>
          <w:rStyle w:val="Emphasis"/>
        </w:rPr>
        <w:t xml:space="preserve"> et al.</w:t>
      </w:r>
      <w:r>
        <w:t xml:space="preserve"> on termination statistics</w:t>
      </w:r>
    </w:p>
    <w:p w14:paraId="375F1734" w14:textId="77777777" w:rsidR="003B6BC7" w:rsidRDefault="003B6BC7">
      <w:pPr>
        <w:pStyle w:val="NormalWeb"/>
        <w:numPr>
          <w:ilvl w:val="0"/>
          <w:numId w:val="20"/>
        </w:numPr>
      </w:pPr>
      <w:r>
        <w:t>Legislative materials on Article 10 / TPR in New York (NYC courts training) (</w:t>
      </w:r>
      <w:hyperlink r:id="rId14" w:tooltip="Representing Clients in Article 10 Cases - Unified Court System" w:history="1">
        <w:r>
          <w:rPr>
            <w:rStyle w:val="Hyperlink"/>
          </w:rPr>
          <w:t>NYCOURTS</w:t>
        </w:r>
      </w:hyperlink>
      <w:r>
        <w:t>)</w:t>
      </w:r>
    </w:p>
    <w:p w14:paraId="57348B28" w14:textId="6441C4FB" w:rsidR="003B6BC7" w:rsidRDefault="003B6BC7">
      <w:pPr>
        <w:pStyle w:val="NormalWeb"/>
      </w:pPr>
    </w:p>
    <w:p w14:paraId="15CB73B2" w14:textId="77777777" w:rsidR="003B6BC7" w:rsidRDefault="003B6BC7"/>
    <w:sectPr w:rsidR="003B6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3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A7F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8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47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25B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B04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F16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F35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45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97F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C7E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955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F14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50B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CE75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B66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96F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E01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A7E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C23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14594">
    <w:abstractNumId w:val="13"/>
  </w:num>
  <w:num w:numId="2" w16cid:durableId="386957161">
    <w:abstractNumId w:val="5"/>
  </w:num>
  <w:num w:numId="3" w16cid:durableId="1038553362">
    <w:abstractNumId w:val="6"/>
  </w:num>
  <w:num w:numId="4" w16cid:durableId="988365783">
    <w:abstractNumId w:val="0"/>
  </w:num>
  <w:num w:numId="5" w16cid:durableId="503937458">
    <w:abstractNumId w:val="9"/>
  </w:num>
  <w:num w:numId="6" w16cid:durableId="27073908">
    <w:abstractNumId w:val="17"/>
  </w:num>
  <w:num w:numId="7" w16cid:durableId="391150333">
    <w:abstractNumId w:val="3"/>
  </w:num>
  <w:num w:numId="8" w16cid:durableId="1613393131">
    <w:abstractNumId w:val="1"/>
  </w:num>
  <w:num w:numId="9" w16cid:durableId="1302686876">
    <w:abstractNumId w:val="10"/>
  </w:num>
  <w:num w:numId="10" w16cid:durableId="1583876952">
    <w:abstractNumId w:val="11"/>
  </w:num>
  <w:num w:numId="11" w16cid:durableId="967396656">
    <w:abstractNumId w:val="14"/>
  </w:num>
  <w:num w:numId="12" w16cid:durableId="1791511269">
    <w:abstractNumId w:val="19"/>
  </w:num>
  <w:num w:numId="13" w16cid:durableId="686978987">
    <w:abstractNumId w:val="18"/>
  </w:num>
  <w:num w:numId="14" w16cid:durableId="724178693">
    <w:abstractNumId w:val="8"/>
  </w:num>
  <w:num w:numId="15" w16cid:durableId="741950419">
    <w:abstractNumId w:val="15"/>
  </w:num>
  <w:num w:numId="16" w16cid:durableId="1501389588">
    <w:abstractNumId w:val="7"/>
  </w:num>
  <w:num w:numId="17" w16cid:durableId="1283195310">
    <w:abstractNumId w:val="12"/>
  </w:num>
  <w:num w:numId="18" w16cid:durableId="351497203">
    <w:abstractNumId w:val="4"/>
  </w:num>
  <w:num w:numId="19" w16cid:durableId="873227946">
    <w:abstractNumId w:val="2"/>
  </w:num>
  <w:num w:numId="20" w16cid:durableId="2032609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C7"/>
    <w:rsid w:val="000D6425"/>
    <w:rsid w:val="001C4CEC"/>
    <w:rsid w:val="003B6BC7"/>
    <w:rsid w:val="00D61009"/>
    <w:rsid w:val="00E4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943B"/>
  <w15:chartTrackingRefBased/>
  <w15:docId w15:val="{A928B413-DF23-AC4E-A24E-1890D9E5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BC7"/>
    <w:rPr>
      <w:rFonts w:eastAsiaTheme="majorEastAsia" w:cstheme="majorBidi"/>
      <w:color w:val="272727" w:themeColor="text1" w:themeTint="D8"/>
    </w:rPr>
  </w:style>
  <w:style w:type="paragraph" w:styleId="Title">
    <w:name w:val="Title"/>
    <w:basedOn w:val="Normal"/>
    <w:next w:val="Normal"/>
    <w:link w:val="TitleChar"/>
    <w:uiPriority w:val="10"/>
    <w:qFormat/>
    <w:rsid w:val="003B6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BC7"/>
    <w:pPr>
      <w:spacing w:before="160"/>
      <w:jc w:val="center"/>
    </w:pPr>
    <w:rPr>
      <w:i/>
      <w:iCs/>
      <w:color w:val="404040" w:themeColor="text1" w:themeTint="BF"/>
    </w:rPr>
  </w:style>
  <w:style w:type="character" w:customStyle="1" w:styleId="QuoteChar">
    <w:name w:val="Quote Char"/>
    <w:basedOn w:val="DefaultParagraphFont"/>
    <w:link w:val="Quote"/>
    <w:uiPriority w:val="29"/>
    <w:rsid w:val="003B6BC7"/>
    <w:rPr>
      <w:i/>
      <w:iCs/>
      <w:color w:val="404040" w:themeColor="text1" w:themeTint="BF"/>
    </w:rPr>
  </w:style>
  <w:style w:type="paragraph" w:styleId="ListParagraph">
    <w:name w:val="List Paragraph"/>
    <w:basedOn w:val="Normal"/>
    <w:uiPriority w:val="34"/>
    <w:qFormat/>
    <w:rsid w:val="003B6BC7"/>
    <w:pPr>
      <w:ind w:left="720"/>
      <w:contextualSpacing/>
    </w:pPr>
  </w:style>
  <w:style w:type="character" w:styleId="IntenseEmphasis">
    <w:name w:val="Intense Emphasis"/>
    <w:basedOn w:val="DefaultParagraphFont"/>
    <w:uiPriority w:val="21"/>
    <w:qFormat/>
    <w:rsid w:val="003B6BC7"/>
    <w:rPr>
      <w:i/>
      <w:iCs/>
      <w:color w:val="0F4761" w:themeColor="accent1" w:themeShade="BF"/>
    </w:rPr>
  </w:style>
  <w:style w:type="paragraph" w:styleId="IntenseQuote">
    <w:name w:val="Intense Quote"/>
    <w:basedOn w:val="Normal"/>
    <w:next w:val="Normal"/>
    <w:link w:val="IntenseQuoteChar"/>
    <w:uiPriority w:val="30"/>
    <w:qFormat/>
    <w:rsid w:val="003B6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BC7"/>
    <w:rPr>
      <w:i/>
      <w:iCs/>
      <w:color w:val="0F4761" w:themeColor="accent1" w:themeShade="BF"/>
    </w:rPr>
  </w:style>
  <w:style w:type="character" w:styleId="IntenseReference">
    <w:name w:val="Intense Reference"/>
    <w:basedOn w:val="DefaultParagraphFont"/>
    <w:uiPriority w:val="32"/>
    <w:qFormat/>
    <w:rsid w:val="003B6BC7"/>
    <w:rPr>
      <w:b/>
      <w:bCs/>
      <w:smallCaps/>
      <w:color w:val="0F4761" w:themeColor="accent1" w:themeShade="BF"/>
      <w:spacing w:val="5"/>
    </w:rPr>
  </w:style>
  <w:style w:type="paragraph" w:styleId="NormalWeb">
    <w:name w:val="Normal (Web)"/>
    <w:basedOn w:val="Normal"/>
    <w:uiPriority w:val="99"/>
    <w:semiHidden/>
    <w:unhideWhenUsed/>
    <w:rsid w:val="003B6BC7"/>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B6BC7"/>
    <w:rPr>
      <w:b/>
      <w:bCs/>
    </w:rPr>
  </w:style>
  <w:style w:type="character" w:styleId="Emphasis">
    <w:name w:val="Emphasis"/>
    <w:basedOn w:val="DefaultParagraphFont"/>
    <w:uiPriority w:val="20"/>
    <w:qFormat/>
    <w:rsid w:val="003B6BC7"/>
    <w:rPr>
      <w:i/>
      <w:iCs/>
    </w:rPr>
  </w:style>
  <w:style w:type="character" w:styleId="Hyperlink">
    <w:name w:val="Hyperlink"/>
    <w:basedOn w:val="DefaultParagraphFont"/>
    <w:uiPriority w:val="99"/>
    <w:semiHidden/>
    <w:unhideWhenUsed/>
    <w:rsid w:val="003B6B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milylawyer.1800nynylaw.com/new-york-family-court/family-court-act-article-10-child-protective-services-part-2-102_3/?utm_source=chatgpt.com" TargetMode="External" /><Relationship Id="rId13" Type="http://schemas.openxmlformats.org/officeDocument/2006/relationships/hyperlink" Target="https://www.ncsl.org/human-services/parental-rights-and-sexual-assault?utm_source=chatgpt.com" TargetMode="External" /><Relationship Id="rId3" Type="http://schemas.openxmlformats.org/officeDocument/2006/relationships/settings" Target="settings.xml" /><Relationship Id="rId7" Type="http://schemas.openxmlformats.org/officeDocument/2006/relationships/hyperlink" Target="https://familylawyer.1800nynylaw.com/new-york-family-court/family-court-act-article-10-child-protective-services-part-2-102_3/?utm_source=chatgpt.com" TargetMode="External" /><Relationship Id="rId12" Type="http://schemas.openxmlformats.org/officeDocument/2006/relationships/hyperlink" Target="https://www.ncsl.org/human-services/parental-rights-and-sexual-assault?utm_source=chatgpt.com"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www.nysenate.gov/legislation/laws/FCT/A10?utm_source=chatgpt.com" TargetMode="External" /><Relationship Id="rId11" Type="http://schemas.openxmlformats.org/officeDocument/2006/relationships/hyperlink" Target="https://www.ncsl.org/human-services/parental-rights-and-sexual-assault?utm_source=chatgpt.com" TargetMode="External" /><Relationship Id="rId5" Type="http://schemas.openxmlformats.org/officeDocument/2006/relationships/hyperlink" Target="https://en.wikipedia.org/wiki/Santosky_v._Kramer?utm_source=chatgpt.com" TargetMode="External" /><Relationship Id="rId15" Type="http://schemas.openxmlformats.org/officeDocument/2006/relationships/fontTable" Target="fontTable.xml" /><Relationship Id="rId10" Type="http://schemas.openxmlformats.org/officeDocument/2006/relationships/hyperlink" Target="https://www.ncsl.org/human-services/parental-rights-and-sexual-assault" TargetMode="External" /><Relationship Id="rId4" Type="http://schemas.openxmlformats.org/officeDocument/2006/relationships/webSettings" Target="webSettings.xml" /><Relationship Id="rId9" Type="http://schemas.openxmlformats.org/officeDocument/2006/relationships/hyperlink" Target="https://ww2.nycourts.gov/ip/cwcip/article10_training.shtml?utm_source=chatgpt.com" TargetMode="External" /><Relationship Id="rId14" Type="http://schemas.openxmlformats.org/officeDocument/2006/relationships/hyperlink" Target="https://ww2.nycourts.gov/ip/cwcip/article10_training.s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 saban</dc:creator>
  <cp:keywords/>
  <dc:description/>
  <cp:lastModifiedBy>nadi saban</cp:lastModifiedBy>
  <cp:revision>2</cp:revision>
  <dcterms:created xsi:type="dcterms:W3CDTF">2025-10-04T21:15:00Z</dcterms:created>
  <dcterms:modified xsi:type="dcterms:W3CDTF">2025-10-04T21:15:00Z</dcterms:modified>
</cp:coreProperties>
</file>