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1F33"/>
          <w:sz w:val="40"/>
          <w:szCs w:val="40"/>
        </w:rPr>
        <w:t xml:space="preserve">Blue Prism Automation Analytics</w:t>
      </w:r>
    </w:p>
    <w:p>
      <w:pPr>
        <w:spacing w:after="300"/>
      </w:pPr>
      <w:r>
        <w:rPr>
          <w:color w:val="5A6672"/>
          <w:sz w:val="24"/>
          <w:szCs w:val="24"/>
        </w:rPr>
        <w:t xml:space="preserve">SQL data layer and Power BI model: build and maintenance runbook</w:t>
      </w:r>
    </w:p>
    <w:p>
      <w:pPr>
        <w:spacing w:after="140"/>
      </w:pPr>
      <w:r>
        <w:t xml:space="preserve">This runbook covers the SQL layer that ingests Blue Prism work queue data, transforms and merges it, holds the reference and cost mappings, and exposes a clean set of views for Power BI. The design principle is that all logic lives in SQL. Power BI imports the views and does nothing but filter, slice and display. No measures or calculated columns are added in Power BI beyond, optionally, a couple of trivial display measures noted at the end.</w:t>
      </w:r>
    </w:p>
    <w:p>
      <w:pPr>
        <w:spacing w:after="140"/>
      </w:pPr>
      <w:r>
        <w:t xml:space="preserve">The scripts are numbered in run order. Run 01 to 09 once to build everything, then run 07 whenever reference data changes and call the pull procedure on every data refresh.</w:t>
      </w:r>
    </w:p>
    <w:p>
      <w:pPr>
        <w:pStyle w:val="Heading1"/>
      </w:pPr>
      <w:r>
        <w:t xml:space="preserve">1. Architecture and data flow</w:t>
      </w:r>
    </w:p>
    <w:p>
      <w:pPr>
        <w:spacing w:after="140"/>
      </w:pPr>
      <w:r>
        <w:t xml:space="preserve">Data flows through four schemas, each with a single clear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b/>
                <w:bCs/>
                <w:color w:val="FFFFFF"/>
                <w:sz w:val="18"/>
                <w:szCs w:val="18"/>
              </w:rPr>
              <w:t xml:space="preserve">Schema</w:t>
            </w:r>
          </w:p>
        </w:tc>
        <w:tc>
          <w:tcPr>
            <w:tcW w:type="dxa" w:w="77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b/>
                <w:bCs/>
                <w:color w:val="FFFFFF"/>
                <w:sz w:val="18"/>
                <w:szCs w:val="18"/>
              </w:rPr>
              <w:t xml:space="preserve">Job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raw</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Landing zone. Columns match the Blue Prism export exactly, all text, nothing rejected. A bad file never breaks a load.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staging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Typed, cleaned copy of raw. Dates and numbers parsed once here. Still one row per item.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core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model. Dimension and reference tables plus the fact table at case grain. The merge keeps this in step with source.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report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Views only. Everything Power BI connects to. All calculations live here.</w:t>
            </w:r>
          </w:p>
        </w:tc>
      </w:tr>
    </w:tbl>
    <w:p>
      <w:pPr>
        <w:spacing w:after="140"/>
      </w:pPr>
      <w:r>
        <w:t xml:space="preserve">The flow is: raw to staging (type and clean), staging to core via the merge (insert new, overwrite changed), core to report (presentation views). Power BI sits only on the report views.</w:t>
      </w:r>
    </w:p>
    <w:p>
      <w:pPr>
        <w:pStyle w:val="Heading2"/>
      </w:pPr>
      <w:r>
        <w:t xml:space="preserve">Naming conventions</w:t>
      </w:r>
    </w:p>
    <w:p>
      <w:pPr>
        <w:pStyle w:val="ListParagraph"/>
        <w:numPr>
          <w:ilvl w:val="0"/>
          <w:numId w:val="1"/>
        </w:numPr>
        <w:spacing w:after="80"/>
      </w:pPr>
      <w:r>
        <w:t xml:space="preserve">Schemas are lower case: raw, staging, core, report.</w:t>
      </w:r>
    </w:p>
    <w:p>
      <w:pPr>
        <w:pStyle w:val="ListParagraph"/>
        <w:numPr>
          <w:ilvl w:val="0"/>
          <w:numId w:val="1"/>
        </w:numPr>
        <w:spacing w:after="80"/>
      </w:pPr>
      <w:r>
        <w:t xml:space="preserve">Dimension tables are prefixed Dim, the fact table is prefixed Fact: core.DimCalendar, core.FactWorkItem.</w:t>
      </w:r>
    </w:p>
    <w:p>
      <w:pPr>
        <w:pStyle w:val="ListParagraph"/>
        <w:numPr>
          <w:ilvl w:val="0"/>
          <w:numId w:val="1"/>
        </w:numPr>
        <w:spacing w:after="80"/>
      </w:pPr>
      <w:r>
        <w:t xml:space="preserve">Reference tables the team edits by hand are prefixed Ref: core.RefProcess, core.RefQueueMap, core.RefResource, core.RefVDICostHistory, core.RefEstateCostHistory, core.RefExceptionType, core.RefProposition.</w:t>
      </w:r>
    </w:p>
    <w:p>
      <w:pPr>
        <w:pStyle w:val="ListParagraph"/>
        <w:numPr>
          <w:ilvl w:val="0"/>
          <w:numId w:val="1"/>
        </w:numPr>
        <w:spacing w:after="80"/>
      </w:pPr>
      <w:r>
        <w:t xml:space="preserve">Views live only in the report schema and are prefixed vw_: report.vw_Commercial, report.vw_ExceptionDetail.</w:t>
      </w:r>
    </w:p>
    <w:p>
      <w:pPr>
        <w:pStyle w:val="ListParagraph"/>
        <w:numPr>
          <w:ilvl w:val="0"/>
          <w:numId w:val="1"/>
        </w:numPr>
        <w:spacing w:after="80"/>
      </w:pPr>
      <w:r>
        <w:t xml:space="preserve">Stored procedures are prefixed usp_: core.usp_RunPull, core.usp_MergeFact, staging.usp_LoadStaging.</w:t>
      </w:r>
    </w:p>
    <w:p>
      <w:pPr>
        <w:pStyle w:val="Heading1"/>
      </w:pPr>
      <w:r>
        <w:t xml:space="preserve">2. First-time build</w:t>
      </w:r>
    </w:p>
    <w:p>
      <w:pPr>
        <w:spacing w:after="140"/>
      </w:pPr>
      <w:r>
        <w:t xml:space="preserve">Run these once, in order, against the SQL Server instance:</w:t>
      </w:r>
    </w:p>
    <w:p>
      <w:pPr>
        <w:shd w:fill="F4F6F8" w:val="clear"/>
        <w:spacing w:after="120" w:before="60"/>
      </w:pPr>
      <w:r>
        <w:rPr>
          <w:rFonts w:ascii="Consolas" w:cs="Consolas" w:eastAsia="Consolas" w:hAnsi="Consolas"/>
          <w:sz w:val="18"/>
          <w:szCs w:val="18"/>
        </w:rPr>
        <w:t xml:space="preserve">01_database_and_schemas.sql   -- database + the four schemas</w:t>
      </w:r>
    </w:p>
    <w:p>
      <w:pPr>
        <w:shd w:fill="F4F6F8" w:val="clear"/>
        <w:spacing w:after="120" w:before="60"/>
      </w:pPr>
      <w:r>
        <w:rPr>
          <w:rFonts w:ascii="Consolas" w:cs="Consolas" w:eastAsia="Consolas" w:hAnsi="Consolas"/>
          <w:sz w:val="18"/>
          <w:szCs w:val="18"/>
        </w:rPr>
        <w:t xml:space="preserve">02_raw_and_staging.sql        -- landing + typed tables</w:t>
      </w:r>
    </w:p>
    <w:p>
      <w:pPr>
        <w:shd w:fill="F4F6F8" w:val="clear"/>
        <w:spacing w:after="120" w:before="60"/>
      </w:pPr>
      <w:r>
        <w:rPr>
          <w:rFonts w:ascii="Consolas" w:cs="Consolas" w:eastAsia="Consolas" w:hAnsi="Consolas"/>
          <w:sz w:val="18"/>
          <w:szCs w:val="18"/>
        </w:rPr>
        <w:t xml:space="preserve">03_core_dimensions.sql        -- dimension + reference tables</w:t>
      </w:r>
    </w:p>
    <w:p>
      <w:pPr>
        <w:shd w:fill="F4F6F8" w:val="clear"/>
        <w:spacing w:after="120" w:before="60"/>
      </w:pPr>
      <w:r>
        <w:rPr>
          <w:rFonts w:ascii="Consolas" w:cs="Consolas" w:eastAsia="Consolas" w:hAnsi="Consolas"/>
          <w:sz w:val="18"/>
          <w:szCs w:val="18"/>
        </w:rPr>
        <w:t xml:space="preserve">04_fact_and_calendar.sql      -- fact table + calendar populate</w:t>
      </w:r>
    </w:p>
    <w:p>
      <w:pPr>
        <w:shd w:fill="F4F6F8" w:val="clear"/>
        <w:spacing w:after="120" w:before="60"/>
      </w:pPr>
      <w:r>
        <w:rPr>
          <w:rFonts w:ascii="Consolas" w:cs="Consolas" w:eastAsia="Consolas" w:hAnsi="Consolas"/>
          <w:sz w:val="18"/>
          <w:szCs w:val="18"/>
        </w:rPr>
        <w:t xml:space="preserve">05_proc_load_staging.sql      -- raw -&gt; staging procedure</w:t>
      </w:r>
    </w:p>
    <w:p>
      <w:pPr>
        <w:shd w:fill="F4F6F8" w:val="clear"/>
        <w:spacing w:after="120" w:before="60"/>
      </w:pPr>
      <w:r>
        <w:rPr>
          <w:rFonts w:ascii="Consolas" w:cs="Consolas" w:eastAsia="Consolas" w:hAnsi="Consolas"/>
          <w:sz w:val="18"/>
          <w:szCs w:val="18"/>
        </w:rPr>
        <w:t xml:space="preserve">06_proc_merge_fact.sql        -- the incremental merge procedure</w:t>
      </w:r>
    </w:p>
    <w:p>
      <w:pPr>
        <w:shd w:fill="F4F6F8" w:val="clear"/>
        <w:spacing w:after="120" w:before="60"/>
      </w:pPr>
      <w:r>
        <w:rPr>
          <w:rFonts w:ascii="Consolas" w:cs="Consolas" w:eastAsia="Consolas" w:hAnsi="Consolas"/>
          <w:sz w:val="18"/>
          <w:szCs w:val="18"/>
        </w:rPr>
        <w:t xml:space="preserve">07_seed_reference.sql         -- reference data template, populate with estate values</w:t>
      </w:r>
    </w:p>
    <w:p>
      <w:pPr>
        <w:shd w:fill="F4F6F8" w:val="clear"/>
        <w:spacing w:after="120" w:before="60"/>
      </w:pPr>
      <w:r>
        <w:rPr>
          <w:rFonts w:ascii="Consolas" w:cs="Consolas" w:eastAsia="Consolas" w:hAnsi="Consolas"/>
          <w:sz w:val="18"/>
          <w:szCs w:val="18"/>
        </w:rPr>
        <w:t xml:space="preserve">08_report_views.sql           -- all Power BI-facing views</w:t>
      </w:r>
    </w:p>
    <w:p>
      <w:pPr>
        <w:shd w:fill="F4F6F8" w:val="clear"/>
        <w:spacing w:after="120" w:before="60"/>
      </w:pPr>
      <w:r>
        <w:rPr>
          <w:rFonts w:ascii="Consolas" w:cs="Consolas" w:eastAsia="Consolas" w:hAnsi="Consolas"/>
          <w:sz w:val="18"/>
          <w:szCs w:val="18"/>
        </w:rPr>
        <w:t xml:space="preserve">09_proc_run_pull.sql          -- the per-pull orchestration procedure</w:t>
      </w:r>
    </w:p>
    <w:p>
      <w:pPr>
        <w:spacing w:after="140"/>
      </w:pPr>
      <w:r>
        <w:rPr>
          <w:b/>
          <w:bCs/>
        </w:rPr>
        <w:t xml:space="preserve">After this, populate the reference tables in 07 with the live propositions, processes, queue mappings, robots and costs, then re-run 07. The rows shipped in 07 are illustrative and show the required structure for each table.</w:t>
      </w:r>
    </w:p>
    <w:p>
      <w:pPr>
        <w:pStyle w:val="Heading1"/>
      </w:pPr>
      <w:r>
        <w:t xml:space="preserve">3. Getting data into raw: two ingest paths</w:t>
      </w:r>
    </w:p>
    <w:p>
      <w:pPr>
        <w:spacing w:after="140"/>
      </w:pPr>
      <w:r>
        <w:t xml:space="preserve">Everything downstream of the raw landing table is identical regardless of how the data arrives. Both ingest paths have the same job: get one row per work queue item into raw.WorkQueueItem, with the QueueName column populated so the mapping can resolve it. Once rows are in raw, the rest of the pipeline (staging load, merge, views) is the same.</w:t>
      </w:r>
    </w:p>
    <w:p>
      <w:pPr>
        <w:spacing w:after="140"/>
      </w:pPr>
      <w:r>
        <w:t xml:space="preserve">Path A is the current file-based ingest from the shared drive. Path B is the direct pull from the Blue Prism work queue API, for use once API access is available. The two are interchangeable at the raw layer, and the system can run on either without any change to staging, the merge, or the views.</w:t>
      </w:r>
    </w:p>
    <w:p>
      <w:pPr>
        <w:pStyle w:val="Heading2"/>
      </w:pPr>
      <w:r>
        <w:t xml:space="preserve">Path A: queue files on the shared drive (current)</w:t>
      </w:r>
    </w:p>
    <w:p>
      <w:pPr>
        <w:spacing w:after="140"/>
      </w:pPr>
      <w:r>
        <w:t xml:space="preserve">The current process drops one file per queue onto the shared drive and a load brings them into SQL. Step 1 loads the files into raw.WorkQueueItem; step 2 runs the pull procedure.</w:t>
      </w:r>
    </w:p>
    <w:p>
      <w:pPr>
        <w:spacing w:after="140"/>
      </w:pPr>
      <w:r>
        <w:t xml:space="preserve">Step 1, load each queue file. Using BULK INSERT the template per file is:</w:t>
      </w:r>
    </w:p>
    <w:p>
      <w:pPr>
        <w:shd w:fill="F4F6F8" w:val="clear"/>
        <w:spacing w:after="120" w:before="60"/>
      </w:pPr>
      <w:r>
        <w:rPr>
          <w:rFonts w:ascii="Consolas" w:cs="Consolas" w:eastAsia="Consolas" w:hAnsi="Consolas"/>
          <w:sz w:val="18"/>
          <w:szCs w:val="18"/>
        </w:rPr>
        <w:t xml:space="preserve">TRUNCATE TABLE raw.WorkQueueItem;  -- raw holds only the current pull</w:t>
      </w:r>
    </w:p>
    <w:p>
      <w:pPr>
        <w:shd w:fill="F4F6F8" w:val="clear"/>
        <w:spacing w:after="120" w:before="60"/>
      </w:pPr>
      <w:r>
        <w:rPr>
          <w:rFonts w:ascii="Consolas" w:cs="Consolas" w:eastAsia="Consolas" w:hAnsi="Consolas"/>
          <w:sz w:val="18"/>
          <w:szCs w:val="18"/>
        </w:rPr>
        <w:t xml:space="preserve">BULK INSERT raw.WorkQueueItem</w:t>
      </w:r>
    </w:p>
    <w:p>
      <w:pPr>
        <w:shd w:fill="F4F6F8" w:val="clear"/>
        <w:spacing w:after="120" w:before="60"/>
      </w:pPr>
      <w:r>
        <w:rPr>
          <w:rFonts w:ascii="Consolas" w:cs="Consolas" w:eastAsia="Consolas" w:hAnsi="Consolas"/>
          <w:sz w:val="18"/>
          <w:szCs w:val="18"/>
        </w:rPr>
        <w:t xml:space="preserve">FROM '\\share\path\INSURANCE_NEW_BUS.csv'</w:t>
      </w:r>
    </w:p>
    <w:p>
      <w:pPr>
        <w:shd w:fill="F4F6F8" w:val="clear"/>
        <w:spacing w:after="120" w:before="60"/>
      </w:pPr>
      <w:r>
        <w:rPr>
          <w:rFonts w:ascii="Consolas" w:cs="Consolas" w:eastAsia="Consolas" w:hAnsi="Consolas"/>
          <w:sz w:val="18"/>
          <w:szCs w:val="18"/>
        </w:rPr>
        <w:t xml:space="preserve">WITH (FORMAT='CSV', FIRSTROW=2, FIELDTERMINATOR=',', ROWTERMINATOR='0x0a');</w:t>
      </w:r>
    </w:p>
    <w:p>
      <w:pPr>
        <w:spacing w:after="140"/>
      </w:pPr>
      <w:r>
        <w:t xml:space="preserve">Repeat the BULK INSERT for each queue file (without the TRUNCATE after the first). Each file's QueueName column must be populated so the mapping can resolve it. If the files do not carry a QueueName column, set it per file with an UPDATE straight after each insert, or add it to the file export. Example, if a file has no QueueName:</w:t>
      </w:r>
    </w:p>
    <w:p>
      <w:pPr>
        <w:shd w:fill="F4F6F8" w:val="clear"/>
        <w:spacing w:after="120" w:before="60"/>
      </w:pPr>
      <w:r>
        <w:rPr>
          <w:rFonts w:ascii="Consolas" w:cs="Consolas" w:eastAsia="Consolas" w:hAnsi="Consolas"/>
          <w:sz w:val="18"/>
          <w:szCs w:val="18"/>
        </w:rPr>
        <w:t xml:space="preserve">UPDATE raw.WorkQueueItem SET QueueName = 'INSURANCE_NEW_BUS'</w:t>
      </w:r>
    </w:p>
    <w:p>
      <w:pPr>
        <w:shd w:fill="F4F6F8" w:val="clear"/>
        <w:spacing w:after="120" w:before="60"/>
      </w:pPr>
      <w:r>
        <w:rPr>
          <w:rFonts w:ascii="Consolas" w:cs="Consolas" w:eastAsia="Consolas" w:hAnsi="Consolas"/>
          <w:sz w:val="18"/>
          <w:szCs w:val="18"/>
        </w:rPr>
        <w:t xml:space="preserve">WHERE QueueName IS NULL;  -- run immediately after that file's insert</w:t>
      </w:r>
    </w:p>
    <w:p>
      <w:pPr>
        <w:spacing w:after="140"/>
      </w:pPr>
      <w:r>
        <w:t xml:space="preserve">Step 2, run the pull procedure (same for both paths):</w:t>
      </w:r>
    </w:p>
    <w:p>
      <w:pPr>
        <w:shd w:fill="F4F6F8" w:val="clear"/>
        <w:spacing w:after="120" w:before="60"/>
      </w:pPr>
      <w:r>
        <w:rPr>
          <w:rFonts w:ascii="Consolas" w:cs="Consolas" w:eastAsia="Consolas" w:hAnsi="Consolas"/>
          <w:sz w:val="18"/>
          <w:szCs w:val="18"/>
        </w:rPr>
        <w:t xml:space="preserve">EXEC core.usp_RunPull;</w:t>
      </w:r>
    </w:p>
    <w:p>
      <w:pPr>
        <w:spacing w:after="140"/>
      </w:pPr>
      <w:r>
        <w:t xml:space="preserve">It prints how many items were inserted and the new fact total, and warns about any queue in the data that has no mapping so nothing silently drops out of the dashboard.</w:t>
      </w:r>
    </w:p>
    <w:p>
      <w:pPr>
        <w:spacing w:after="140"/>
      </w:pPr>
      <w:r>
        <w:t xml:space="preserve">Path A characteristics worth noting: each pull loads a rolling 4-week snapshot into raw (raw is truncated and reloaded with that window each time, so it is not a full history load). Its real dependency is operational, every expected queue file must be present on the share and the manual export and shared-drive steps have to run. Path B removes those operational dependencies by pulling directly from the API, and additionally supports true incremental pulls keyed on change timestamp rather than a fixed time window.</w:t>
      </w:r>
    </w:p>
    <w:p>
      <w:pPr>
        <w:spacing w:after="140"/>
      </w:pPr>
      <w:r>
        <w:t xml:space="preserve">File housekeeping. After a successful ingest the queue files are moved off the working share to an archive location and deleted from there periodically, so the working share does not accumulate files. This is correct practice and keeps the share clean. The archive step should run only after step 2 (the merge) has completed successfully, never before, so a failed pull can be retried against the same files. A safe order is: load files into raw, run EXEC core.usp_RunPull, confirm success, then move the files to archive.</w:t>
      </w:r>
    </w:p>
    <w:p>
      <w:pPr>
        <w:spacing w:after="140"/>
      </w:pPr>
      <w:r>
        <w:t xml:space="preserve">Dependency this creates. Because files are removed after ingest, a pull can never reach back to a file it has already processed. This estate's queue exports are a rolling 4-week snapshot: each pull captures the previous four weeks of items. That makes the archive-and-delete cycle self-healing. Any item that changes within the window reappears in the next pull with its current state and the merge overwrites it by ID, so a single missed or corrupted file is recovered automatically on the following pull. In effect every pull carries a 4-week reconciliation overlap.</w:t>
      </w:r>
    </w:p>
    <w:p>
      <w:pPr>
        <w:spacing w:after="140"/>
      </w:pPr>
      <w:r>
        <w:rPr>
          <w:b/>
          <w:bCs/>
        </w:rPr>
        <w:t xml:space="preserve">The window rule. The rolling window is safe only while pulls run more frequently than the window length, with margin. Each pull must overlap the previous one. Daily or weekly pulls give large overlap and are fully covered. The risk case is a gap between successful pulls approaching four weeks (an outage, a holiday gap, or a scheduled job that silently stopped). Items that changed in the portion of the gap now older than four weeks would fall outside every later window and never be captured, leaving them silently missing from the fact. The operational rule is therefore simple: never let the gap between successful pulls approach four weeks. Monitor for missed pulls and catch up promptly if one is skipped.</w:t>
      </w:r>
    </w:p>
    <w:p>
      <w:pPr>
        <w:spacing w:after="140"/>
      </w:pPr>
      <w:r>
        <w:t xml:space="preserve">Reconciliation safety net. The rolling overlap covers routine misses, so a separate frequent reconciliation is not required here. As cheap insurance against an extended outage, schedule an occasional full catch-all pull (for example monthly) that captures all current items rather than only four weeks, loaded and merged in the normal way. Because the merge matches on ID and only overwrites genuinely newer rows, this is safe to run at any time and corrects anything an extended gap might have missed, without duplicating or disturbing correct data.</w:t>
      </w:r>
    </w:p>
    <w:p>
      <w:pPr>
        <w:spacing w:after="140"/>
      </w:pPr>
      <w:r>
        <w:t xml:space="preserve">Note on the no-delete merge. The rolling-window source is exactly why the merge never deletes unmatched rows. Items older than four weeks legitimately do not appear in the file, and their absence must not remove them from the fact. The merge leaving unmatched rows untouched is the correct behaviour for a rolling-window snapshot.</w:t>
      </w:r>
    </w:p>
    <w:p>
      <w:pPr>
        <w:pStyle w:val="Heading2"/>
      </w:pPr>
      <w:r>
        <w:t xml:space="preserve">Path B: direct from the Blue Prism work queue API (when access is available)</w:t>
      </w:r>
    </w:p>
    <w:p>
      <w:pPr>
        <w:spacing w:after="140"/>
      </w:pPr>
      <w:r>
        <w:t xml:space="preserve">The Blue Prism API (installed alongside Blue Prism Hub on an IIS web server with a low-latency connection to the Blue Prism database) exposes the work queues and their items over REST, removing the file export and shared-drive step entirely. The replacement is a small ingest component (a scheduled script, an Azure Data Factory pipeline, a SQL Server Integration Services package, or equivalent) that authenticates, pulls the items, and writes them into raw.WorkQueueItem. Everything from raw onwards is unchanged.</w:t>
      </w:r>
    </w:p>
    <w:p>
      <w:pPr>
        <w:spacing w:after="140"/>
      </w:pPr>
      <w:r>
        <w:t xml:space="preserve">Base URL format for the Blue Prism 7.2 API:</w:t>
      </w:r>
    </w:p>
    <w:p>
      <w:pPr>
        <w:shd w:fill="F4F6F8" w:val="clear"/>
        <w:spacing w:after="120" w:before="60"/>
      </w:pPr>
      <w:r>
        <w:rPr>
          <w:rFonts w:ascii="Consolas" w:cs="Consolas" w:eastAsia="Consolas" w:hAnsi="Consolas"/>
          <w:sz w:val="18"/>
          <w:szCs w:val="18"/>
        </w:rPr>
        <w:t xml:space="preserve">http(s)://&lt;address&gt;/api/v7</w:t>
      </w:r>
    </w:p>
    <w:p>
      <w:pPr>
        <w:spacing w:after="140"/>
      </w:pPr>
      <w:r>
        <w:t xml:space="preserve">The &lt;address&gt; is the host name of the web server where the Blue Prism API is installed, for example https://bpapi.mydomain.com/api/v7. The field-level request and response detail is in the Blue Prism 7.2 API Reference; the steps below describe the sequence, not every field, because the reference is the authoritative source for the exact JSON shape.</w:t>
      </w:r>
    </w:p>
    <w:p>
      <w:pPr>
        <w:spacing w:after="140"/>
      </w:pPr>
      <w:r>
        <w:rPr>
          <w:b/>
          <w:bCs/>
        </w:rPr>
        <w:t xml:space="preserve">The ingest sequence per pull:</w:t>
      </w:r>
    </w:p>
    <w:p>
      <w:pPr>
        <w:spacing w:after="140"/>
      </w:pPr>
      <w:r>
        <w:t xml:space="preserve">1. Authenticate. The API uses OAuth 2.0. Request a bearer token using the service account's client ID and secret, then send it as an Authorization: Bearer header on every subsequent call. Tokens are short-lived, so the ingest component requests a fresh one each run (or on expiry).</w:t>
      </w:r>
    </w:p>
    <w:p>
      <w:pPr>
        <w:spacing w:after="140"/>
      </w:pPr>
      <w:r>
        <w:t xml:space="preserve">2. List the work queues. Call the work queues endpoint to retrieve the queues and their IDs:</w:t>
      </w:r>
    </w:p>
    <w:p>
      <w:pPr>
        <w:shd w:fill="F4F6F8" w:val="clear"/>
        <w:spacing w:after="120" w:before="60"/>
      </w:pPr>
      <w:r>
        <w:rPr>
          <w:rFonts w:ascii="Consolas" w:cs="Consolas" w:eastAsia="Consolas" w:hAnsi="Consolas"/>
          <w:sz w:val="18"/>
          <w:szCs w:val="18"/>
        </w:rPr>
        <w:t xml:space="preserve">GET /api/v7/workqueues</w:t>
      </w:r>
    </w:p>
    <w:p>
      <w:pPr>
        <w:spacing w:after="140"/>
      </w:pPr>
      <w:r>
        <w:t xml:space="preserve">3. Pull the items for each queue, paged. For each queue ID, page through its items:</w:t>
      </w:r>
    </w:p>
    <w:p>
      <w:pPr>
        <w:shd w:fill="F4F6F8" w:val="clear"/>
        <w:spacing w:after="120" w:before="60"/>
      </w:pPr>
      <w:r>
        <w:rPr>
          <w:rFonts w:ascii="Consolas" w:cs="Consolas" w:eastAsia="Consolas" w:hAnsi="Consolas"/>
          <w:sz w:val="18"/>
          <w:szCs w:val="18"/>
        </w:rPr>
        <w:t xml:space="preserve">GET /api/v7/workqueues/{workQueueId}/items</w:t>
      </w:r>
    </w:p>
    <w:p>
      <w:pPr>
        <w:spacing w:after="140"/>
      </w:pPr>
      <w:r>
        <w:t xml:space="preserve">Use the API's paging parameters to walk all pages rather than pulling everything in one call. For incremental pulls (recommended once steady state is reached), use the API's filtering to request only items changed since the last successful pull, keyed on the item's last-updated timestamp. This is the capability Path A lacks: the pull asks the source for only what has changed.</w:t>
      </w:r>
    </w:p>
    <w:p>
      <w:pPr>
        <w:spacing w:after="140"/>
      </w:pPr>
      <w:r>
        <w:t xml:space="preserve">4. Write the items into raw.WorkQueueItem. Map the API response fields to the raw columns (ID, KeyValue, Priority, Status, Tags, Resource, Attempt, LoadedDate, LastUpdatedDate, DeferredDate, LockedDate, CompletedDate, Worktime, ExceptionDate, ExceptionReason), and set QueueName from the queue being pulled. For a full pull, truncate raw first as in Path A. For an incremental pull, do not truncate; insert only the changed items, and the merge will correctly overwrite the matching rows in the fact by ID and LastUpdatedDate.</w:t>
      </w:r>
    </w:p>
    <w:p>
      <w:pPr>
        <w:spacing w:after="140"/>
      </w:pPr>
      <w:r>
        <w:t xml:space="preserve">5. Run the pull procedure, exactly as Path A:</w:t>
      </w:r>
    </w:p>
    <w:p>
      <w:pPr>
        <w:shd w:fill="F4F6F8" w:val="clear"/>
        <w:spacing w:after="120" w:before="60"/>
      </w:pPr>
      <w:r>
        <w:rPr>
          <w:rFonts w:ascii="Consolas" w:cs="Consolas" w:eastAsia="Consolas" w:hAnsi="Consolas"/>
          <w:sz w:val="18"/>
          <w:szCs w:val="18"/>
        </w:rPr>
        <w:t xml:space="preserve">EXEC core.usp_RunPull;</w:t>
      </w:r>
    </w:p>
    <w:p>
      <w:pPr>
        <w:spacing w:after="140"/>
      </w:pPr>
      <w:r>
        <w:t xml:space="preserve">Mapping note: the API identifies queues by ID. The reference table core.RefQueueMap keys on QueueName. When wiring Path B, either populate raw.QueueName with the queue name the API returns alongside the ID, or extend core.RefQueueMap with the API's queue ID so the mapping can resolve from either. Keeping QueueName as the mapping key (and writing the API's queue name into raw) keeps both paths consistent and means the rest of the pipeline does not change.</w:t>
      </w:r>
    </w:p>
    <w:p>
      <w:pPr>
        <w:spacing w:after="140"/>
      </w:pPr>
      <w:r>
        <w:t xml:space="preserve">Path B advantages over Path A: no manual file export or shared-drive dependency, the pull can be scheduled end to end, and incremental pulls move only changed items, which is faster and lighter on both Blue Prism and SQL. Note that querying the Blue Prism tables or API at high frequency can affect database performance, so schedule pulls at a sensible cadence (for example a few times a day, aligned to the dashboard refresh) rather than continuously.</w:t>
      </w:r>
    </w:p>
    <w:p>
      <w:pPr>
        <w:spacing w:after="140"/>
      </w:pPr>
      <w:r>
        <w:rPr>
          <w:b/>
          <w:bCs/>
        </w:rPr>
        <w:t xml:space="preserve">Switching paths: because both paths only populate raw.WorkQueueItem and then call core.usp_RunPull, moving from Path A to Path B is a change to the ingest component alone. No change is required to staging, the merge, the reference tables, the views, or the Power BI model.</w:t>
      </w:r>
    </w:p>
    <w:p>
      <w:pPr>
        <w:pStyle w:val="Heading1"/>
      </w:pPr>
      <w:r>
        <w:t xml:space="preserve">4. How the incremental merge works</w:t>
      </w:r>
    </w:p>
    <w:p>
      <w:pPr>
        <w:spacing w:after="140"/>
      </w:pPr>
      <w:r>
        <w:t xml:space="preserve">The merge matches on the item ID and overwrites only when the incoming LastUpdatedDate is newer than what is stored. This is the robust version of "done items stay put, changed items overwrite".</w:t>
      </w:r>
    </w:p>
    <w:p>
      <w:pPr>
        <w:spacing w:after="140"/>
      </w:pPr>
      <w:r>
        <w:t xml:space="preserve">Why not key on CompletedDate: an item only has a CompletedDate once it finishes successfully. Items that exception have an ExceptionDate and no CompletedDate. Items still running have neither. Keying on CompletedDate would miss exceptions and in-progress work. The item ID is the stable identity, and LastUpdatedDate is what moves whenever the row changes state, so ID plus a newer LastUpdatedDate correctly captures a case moving from pending to completed, pending to exception, or being retried.</w:t>
      </w:r>
    </w:p>
    <w:p>
      <w:pPr>
        <w:spacing w:after="140"/>
      </w:pPr>
      <w:r>
        <w:t xml:space="preserve">The merge never deletes. A single pull may be one queue's file, so an item being absent from this batch does not mean it has gone. Removal, if ever needed, is a separate deliberate job, not part of the routine pull.</w:t>
      </w:r>
    </w:p>
    <w:p>
      <w:pPr>
        <w:spacing w:after="140"/>
      </w:pPr>
      <w:r>
        <w:t xml:space="preserve">Outcome (Completed, Exception, Pending) and ExceptionType (Business, System) are worked out during the merge and stored on the fact, so Power BI imports finished values.</w:t>
      </w:r>
    </w:p>
    <w:p>
      <w:pPr>
        <w:pStyle w:val="Heading1"/>
      </w:pPr>
      <w:r>
        <w:t xml:space="preserve">5. Where to add or change data</w:t>
      </w:r>
    </w:p>
    <w:p>
      <w:pPr>
        <w:spacing w:after="140"/>
      </w:pPr>
      <w:r>
        <w:t xml:space="preserve">All the data maintained by hand lives in the Ref tables in the core schema. These are edited directly, then take effect on the next merge or immediately for views. None of this requires touching the pipeline logic.</w:t>
      </w:r>
    </w:p>
    <w:p>
      <w:pPr>
        <w:spacing w:after="140"/>
      </w:pPr>
      <w:r>
        <w:t xml:space="preserve">Human-readable names. The Blue Prism work queue item only carries cryptic codes: a queue name (for example INSURANCE_NEW_BUS) and a resource string (for example VDI-RPA-PROD-01). The readable names shown in Power BI come entirely from the Ref tables. For processes, the displayed name is ProcessName in core.RefProcess, resolved from the queue via core.RefQueueMap. For robots, the displayed name is BotName in core.RefResource, matched on the item's resource value. Each also has an acronym column for compact labels (ProcessAcronym, BotAcronym), and processes carry a ProcessDescription for tooltips or a reference page. Keeping these tables current is what keeps the dashboard readable; a code with no matching row shows as blank and the pull procedure warns about unmapped queues.</w:t>
      </w:r>
    </w:p>
    <w:p>
      <w:pPr>
        <w:pStyle w:val="Heading2"/>
      </w:pPr>
      <w:r>
        <w:t xml:space="preserve">Adding, retiring and costing a robot (VDI)</w:t>
      </w:r>
    </w:p>
    <w:p>
      <w:pPr>
        <w:spacing w:after="140"/>
      </w:pPr>
      <w:r>
        <w:t xml:space="preserve">Insert into core.RefResource. ResourceName must match exactly what the work queue item's Resource field contains, this is the join key. BotName is the human-readable name shown in Power BI, BotAcronym is a short code, VDIName records the underlying machine. CostClass is 'prod' or 'test' and drives the infrastructure cost. ActiveFrom is the date the VDI entered service; ActiveTo is its retirement date, left NULL while it is live.</w:t>
      </w:r>
    </w:p>
    <w:p>
      <w:pPr>
        <w:shd w:fill="F4F6F8" w:val="clear"/>
        <w:spacing w:after="120" w:before="60"/>
      </w:pPr>
      <w:r>
        <w:rPr>
          <w:rFonts w:ascii="Consolas" w:cs="Consolas" w:eastAsia="Consolas" w:hAnsi="Consolas"/>
          <w:sz w:val="18"/>
          <w:szCs w:val="18"/>
        </w:rPr>
        <w:t xml:space="preserve">INSERT INTO core.RefResource</w:t>
      </w:r>
    </w:p>
    <w:p>
      <w:pPr>
        <w:shd w:fill="F4F6F8" w:val="clear"/>
        <w:spacing w:after="120" w:before="60"/>
      </w:pPr>
      <w:r>
        <w:rPr>
          <w:rFonts w:ascii="Consolas" w:cs="Consolas" w:eastAsia="Consolas" w:hAnsi="Consolas"/>
          <w:sz w:val="18"/>
          <w:szCs w:val="18"/>
        </w:rPr>
        <w:t xml:space="preserve">  (ResourceName, BotName, BotAcronym, VDIName, CostClass,</w:t>
      </w:r>
    </w:p>
    <w:p>
      <w:pPr>
        <w:shd w:fill="F4F6F8" w:val="clear"/>
        <w:spacing w:after="120" w:before="60"/>
      </w:pPr>
      <w:r>
        <w:rPr>
          <w:rFonts w:ascii="Consolas" w:cs="Consolas" w:eastAsia="Consolas" w:hAnsi="Consolas"/>
          <w:sz w:val="18"/>
          <w:szCs w:val="18"/>
        </w:rPr>
        <w:t xml:space="preserve">   ActiveFrom, ActiveTo, Notes, IsActive)</w:t>
      </w:r>
    </w:p>
    <w:p>
      <w:pPr>
        <w:shd w:fill="F4F6F8" w:val="clear"/>
        <w:spacing w:after="120" w:before="60"/>
      </w:pPr>
      <w:r>
        <w:rPr>
          <w:rFonts w:ascii="Consolas" w:cs="Consolas" w:eastAsia="Consolas" w:hAnsi="Consolas"/>
          <w:sz w:val="18"/>
          <w:szCs w:val="18"/>
        </w:rPr>
        <w:t xml:space="preserve">VALUES ('VDI-RPA-PROD-08', 'BOT-FINANCE-08', 'BF08',</w:t>
      </w:r>
    </w:p>
    <w:p>
      <w:pPr>
        <w:shd w:fill="F4F6F8" w:val="clear"/>
        <w:spacing w:after="120" w:before="60"/>
      </w:pPr>
      <w:r>
        <w:rPr>
          <w:rFonts w:ascii="Consolas" w:cs="Consolas" w:eastAsia="Consolas" w:hAnsi="Consolas"/>
          <w:sz w:val="18"/>
          <w:szCs w:val="18"/>
        </w:rPr>
        <w:t xml:space="preserve">        'VDI-RPA-PROD-08', 'prod', '2026-07-01', NULL, NULL, 1);</w:t>
      </w:r>
    </w:p>
    <w:p>
      <w:pPr>
        <w:spacing w:after="140"/>
      </w:pPr>
      <w:r>
        <w:t xml:space="preserve">To retire a VDI, set its ActiveTo to the retirement date and IsActive to 0. Never delete it: keeping the row with its lifecycle dates is what preserves its historic cost contribution and its past utilisation. From the retirement date onward it stops adding to infrastructure cost automatically.</w:t>
      </w:r>
    </w:p>
    <w:p>
      <w:pPr>
        <w:shd w:fill="F4F6F8" w:val="clear"/>
        <w:spacing w:after="120" w:before="60"/>
      </w:pPr>
      <w:r>
        <w:rPr>
          <w:rFonts w:ascii="Consolas" w:cs="Consolas" w:eastAsia="Consolas" w:hAnsi="Consolas"/>
          <w:sz w:val="18"/>
          <w:szCs w:val="18"/>
        </w:rPr>
        <w:t xml:space="preserve">UPDATE core.RefResource SET ActiveTo = '2026-06-30', IsActive = 0</w:t>
      </w:r>
    </w:p>
    <w:p>
      <w:pPr>
        <w:shd w:fill="F4F6F8" w:val="clear"/>
        <w:spacing w:after="120" w:before="60"/>
      </w:pPr>
      <w:r>
        <w:rPr>
          <w:rFonts w:ascii="Consolas" w:cs="Consolas" w:eastAsia="Consolas" w:hAnsi="Consolas"/>
          <w:sz w:val="18"/>
          <w:szCs w:val="18"/>
        </w:rPr>
        <w:t xml:space="preserve">WHERE ResourceName = 'VDI-RPA-PROD-03';</w:t>
      </w:r>
    </w:p>
    <w:p>
      <w:pPr>
        <w:spacing w:after="140"/>
      </w:pPr>
      <w:r>
        <w:t xml:space="preserve">To rename a robot as shown in the dashboard, update BotName (and BotAcronym if used). ResourceName must not change, as it is the match to the raw data:</w:t>
      </w:r>
    </w:p>
    <w:p>
      <w:pPr>
        <w:shd w:fill="F4F6F8" w:val="clear"/>
        <w:spacing w:after="120" w:before="60"/>
      </w:pPr>
      <w:r>
        <w:rPr>
          <w:rFonts w:ascii="Consolas" w:cs="Consolas" w:eastAsia="Consolas" w:hAnsi="Consolas"/>
          <w:sz w:val="18"/>
          <w:szCs w:val="18"/>
        </w:rPr>
        <w:t xml:space="preserve">UPDATE core.RefResource SET BotName = 'BOT-PENSIONS-01', BotAcronym = 'BP01'</w:t>
      </w:r>
    </w:p>
    <w:p>
      <w:pPr>
        <w:shd w:fill="F4F6F8" w:val="clear"/>
        <w:spacing w:after="120" w:before="60"/>
      </w:pPr>
      <w:r>
        <w:rPr>
          <w:rFonts w:ascii="Consolas" w:cs="Consolas" w:eastAsia="Consolas" w:hAnsi="Consolas"/>
          <w:sz w:val="18"/>
          <w:szCs w:val="18"/>
        </w:rPr>
        <w:t xml:space="preserve">WHERE ResourceName = 'VDI-RPA-PROD-07';</w:t>
      </w:r>
    </w:p>
    <w:p>
      <w:pPr>
        <w:spacing w:after="140"/>
      </w:pPr>
      <w:r>
        <w:t xml:space="preserve">Per-VDI annual cost is held by class in core.RefVDICostHistory, date-effective. When the prod or test cost per VDI changes, insert a new row with the date it took effect rather than editing the old one, so historic infra cost stays accurate:</w:t>
      </w:r>
    </w:p>
    <w:p>
      <w:pPr>
        <w:shd w:fill="F4F6F8" w:val="clear"/>
        <w:spacing w:after="120" w:before="60"/>
      </w:pPr>
      <w:r>
        <w:rPr>
          <w:rFonts w:ascii="Consolas" w:cs="Consolas" w:eastAsia="Consolas" w:hAnsi="Consolas"/>
          <w:sz w:val="18"/>
          <w:szCs w:val="18"/>
        </w:rPr>
        <w:t xml:space="preserve">INSERT INTO core.RefVDICostHistory</w:t>
      </w:r>
    </w:p>
    <w:p>
      <w:pPr>
        <w:shd w:fill="F4F6F8" w:val="clear"/>
        <w:spacing w:after="120" w:before="60"/>
      </w:pPr>
      <w:r>
        <w:rPr>
          <w:rFonts w:ascii="Consolas" w:cs="Consolas" w:eastAsia="Consolas" w:hAnsi="Consolas"/>
          <w:sz w:val="18"/>
          <w:szCs w:val="18"/>
        </w:rPr>
        <w:t xml:space="preserve">  (CostClass, EffectiveFrom, AnnualCostPerVDIGBP)</w:t>
      </w:r>
    </w:p>
    <w:p>
      <w:pPr>
        <w:shd w:fill="F4F6F8" w:val="clear"/>
        <w:spacing w:after="120" w:before="60"/>
      </w:pPr>
      <w:r>
        <w:rPr>
          <w:rFonts w:ascii="Consolas" w:cs="Consolas" w:eastAsia="Consolas" w:hAnsi="Consolas"/>
          <w:sz w:val="18"/>
          <w:szCs w:val="18"/>
        </w:rPr>
        <w:t xml:space="preserve">VALUES ('prod', '2026-04-01', 9900.00);</w:t>
      </w:r>
    </w:p>
    <w:p>
      <w:pPr>
        <w:pStyle w:val="Heading2"/>
      </w:pPr>
      <w:r>
        <w:t xml:space="preserve">Changing a cost</w:t>
      </w:r>
    </w:p>
    <w:p>
      <w:pPr>
        <w:spacing w:after="140"/>
      </w:pPr>
      <w:r>
        <w:t xml:space="preserve">Per-process costs (manual minutes per case, colleague hourly rate) are in core.RefProcess. Update the row for that process:</w:t>
      </w:r>
    </w:p>
    <w:p>
      <w:pPr>
        <w:shd w:fill="F4F6F8" w:val="clear"/>
        <w:spacing w:after="120" w:before="60"/>
      </w:pPr>
      <w:r>
        <w:rPr>
          <w:rFonts w:ascii="Consolas" w:cs="Consolas" w:eastAsia="Consolas" w:hAnsi="Consolas"/>
          <w:sz w:val="18"/>
          <w:szCs w:val="18"/>
        </w:rPr>
        <w:t xml:space="preserve">UPDATE core.RefProcess SET ManualMinutes = 20, ColleagueHourly = 30.0</w:t>
      </w:r>
    </w:p>
    <w:p>
      <w:pPr>
        <w:shd w:fill="F4F6F8" w:val="clear"/>
        <w:spacing w:after="120" w:before="60"/>
      </w:pPr>
      <w:r>
        <w:rPr>
          <w:rFonts w:ascii="Consolas" w:cs="Consolas" w:eastAsia="Consolas" w:hAnsi="Consolas"/>
          <w:sz w:val="18"/>
          <w:szCs w:val="18"/>
        </w:rPr>
        <w:t xml:space="preserve">WHERE ProcessId = 101;</w:t>
      </w:r>
    </w:p>
    <w:p>
      <w:pPr>
        <w:spacing w:after="140"/>
      </w:pPr>
      <w:r>
        <w:t xml:space="preserve">Team (engineering) cost is time-varying and held in core.RefEstateCostHistory, one row per cost period. When it materially changes, do not edit an existing row: insert a NEW row with the date the new rate took effect. Past periods keep their own rate, so history stays accurate and only work from the effective date onwards is costed at the new rate.</w:t>
      </w:r>
    </w:p>
    <w:p>
      <w:pPr>
        <w:shd w:fill="F4F6F8" w:val="clear"/>
        <w:spacing w:after="120" w:before="60"/>
      </w:pPr>
      <w:r>
        <w:rPr>
          <w:rFonts w:ascii="Consolas" w:cs="Consolas" w:eastAsia="Consolas" w:hAnsi="Consolas"/>
          <w:sz w:val="18"/>
          <w:szCs w:val="18"/>
        </w:rPr>
        <w:t xml:space="preserve">INSERT INTO core.RefEstateCostHistory</w:t>
      </w:r>
    </w:p>
    <w:p>
      <w:pPr>
        <w:shd w:fill="F4F6F8" w:val="clear"/>
        <w:spacing w:after="120" w:before="60"/>
      </w:pPr>
      <w:r>
        <w:rPr>
          <w:rFonts w:ascii="Consolas" w:cs="Consolas" w:eastAsia="Consolas" w:hAnsi="Consolas"/>
          <w:sz w:val="18"/>
          <w:szCs w:val="18"/>
        </w:rPr>
        <w:t xml:space="preserve">  (EffectiveFrom, TeamAnnualCostGBP,</w:t>
      </w:r>
    </w:p>
    <w:p>
      <w:pPr>
        <w:shd w:fill="F4F6F8" w:val="clear"/>
        <w:spacing w:after="120" w:before="60"/>
      </w:pPr>
      <w:r>
        <w:rPr>
          <w:rFonts w:ascii="Consolas" w:cs="Consolas" w:eastAsia="Consolas" w:hAnsi="Consolas"/>
          <w:sz w:val="18"/>
          <w:szCs w:val="18"/>
        </w:rPr>
        <w:t xml:space="preserve">   WorkingDaysPerYear, ProductiveHoursPerDay, Note)</w:t>
      </w:r>
    </w:p>
    <w:p>
      <w:pPr>
        <w:shd w:fill="F4F6F8" w:val="clear"/>
        <w:spacing w:after="120" w:before="60"/>
      </w:pPr>
      <w:r>
        <w:rPr>
          <w:rFonts w:ascii="Consolas" w:cs="Consolas" w:eastAsia="Consolas" w:hAnsi="Consolas"/>
          <w:sz w:val="18"/>
          <w:szCs w:val="18"/>
        </w:rPr>
        <w:t xml:space="preserve">VALUES ('2026-04-01', 2100000, 252, 7.5,</w:t>
      </w:r>
    </w:p>
    <w:p>
      <w:pPr>
        <w:shd w:fill="F4F6F8" w:val="clear"/>
        <w:spacing w:after="120" w:before="60"/>
      </w:pPr>
      <w:r>
        <w:rPr>
          <w:rFonts w:ascii="Consolas" w:cs="Consolas" w:eastAsia="Consolas" w:hAnsi="Consolas"/>
          <w:sz w:val="18"/>
          <w:szCs w:val="18"/>
        </w:rPr>
        <w:t xml:space="preserve">        'Two joiners in Pensions');</w:t>
      </w:r>
    </w:p>
    <w:p>
      <w:pPr>
        <w:spacing w:after="140"/>
      </w:pPr>
      <w:r>
        <w:t xml:space="preserve">Infrastructure cost is NOT entered here. It derives automatically from the VDI estate: the VDIs live on each date (core.RefResource lifecycle) valued at their class rate (core.RefVDICostHistory). So retiring or adding a VDI changes infra cost on its own, with no figure to re-key. Changing infra cost means either changing the VDI estate (add, retire) or changing a class rate, both covered in the robot section above.</w:t>
      </w:r>
    </w:p>
    <w:p>
      <w:pPr>
        <w:spacing w:after="140"/>
      </w:pPr>
      <w:r>
        <w:rPr>
          <w:b/>
          <w:bCs/>
        </w:rPr>
        <w:t xml:space="preserve">The team cost figure is a blended ANNUALISED RUN-RATE at the effective date, not a year-to-date total. Enter it as a single pooled figure. Never enter individual people or their salaries: the model holds only a blended team cost that cannot be decomposed back to individuals, which is what keeps it safe for anyone with dashboard access to see.</w:t>
      </w:r>
    </w:p>
    <w:p>
      <w:pPr>
        <w:spacing w:after="140"/>
      </w:pPr>
      <w:r>
        <w:t xml:space="preserve">The commercial and KPI views recompute automatically, no rebuild needed. Each case is costed at the rate in force on its outcome date, so updating rates going forward never disturbs reported history.</w:t>
      </w:r>
    </w:p>
    <w:p>
      <w:pPr>
        <w:spacing w:after="140"/>
      </w:pPr>
      <w:r>
        <w:t xml:space="preserve">To correct a rate entered in error (as opposed to recording a genuine change), update the row for that EffectiveFrom date in place. Use a new row only for a real change of rate from a point in time.</w:t>
      </w:r>
    </w:p>
    <w:p>
      <w:pPr>
        <w:pStyle w:val="Heading2"/>
      </w:pPr>
      <w:r>
        <w:t xml:space="preserve">Adding a new proposition or process</w:t>
      </w:r>
    </w:p>
    <w:p>
      <w:pPr>
        <w:spacing w:after="140"/>
      </w:pPr>
      <w:r>
        <w:t xml:space="preserve">Add the proposition first (it is referenced by processes), then the process. ProcessName is the human-readable name shown in Power BI, ProcessAcronym is a short code for compact labels, and ProcessDescription is the longer explanation used in tooltips or a reference page:</w:t>
      </w:r>
    </w:p>
    <w:p>
      <w:pPr>
        <w:shd w:fill="F4F6F8" w:val="clear"/>
        <w:spacing w:after="120" w:before="60"/>
      </w:pPr>
      <w:r>
        <w:rPr>
          <w:rFonts w:ascii="Consolas" w:cs="Consolas" w:eastAsia="Consolas" w:hAnsi="Consolas"/>
          <w:sz w:val="18"/>
          <w:szCs w:val="18"/>
        </w:rPr>
        <w:t xml:space="preserve">INSERT INTO core.RefProposition (PropositionId, PropositionName, Division)</w:t>
      </w:r>
    </w:p>
    <w:p>
      <w:pPr>
        <w:shd w:fill="F4F6F8" w:val="clear"/>
        <w:spacing w:after="120" w:before="60"/>
      </w:pPr>
      <w:r>
        <w:rPr>
          <w:rFonts w:ascii="Consolas" w:cs="Consolas" w:eastAsia="Consolas" w:hAnsi="Consolas"/>
          <w:sz w:val="18"/>
          <w:szCs w:val="18"/>
        </w:rPr>
        <w:t xml:space="preserve">VALUES (6, 'Annuities', 'Pensions &amp; Retirement');</w:t>
      </w:r>
    </w:p>
    <w:p>
      <w:pPr>
        <w:shd w:fill="F4F6F8" w:val="clear"/>
        <w:spacing w:after="120" w:before="60"/>
      </w:pPr>
      <w:r>
        <w:rPr>
          <w:rFonts w:ascii="Consolas" w:cs="Consolas" w:eastAsia="Consolas" w:hAnsi="Consolas"/>
          <w:sz w:val="18"/>
          <w:szCs w:val="18"/>
        </w:rPr>
        <w:t xml:space="preserve">INSERT INTO core.RefProcess (ProcessId, ProcessName, ProcessAcronym,</w:t>
      </w:r>
    </w:p>
    <w:p>
      <w:pPr>
        <w:shd w:fill="F4F6F8" w:val="clear"/>
        <w:spacing w:after="120" w:before="60"/>
      </w:pPr>
      <w:r>
        <w:rPr>
          <w:rFonts w:ascii="Consolas" w:cs="Consolas" w:eastAsia="Consolas" w:hAnsi="Consolas"/>
          <w:sz w:val="18"/>
          <w:szCs w:val="18"/>
        </w:rPr>
        <w:t xml:space="preserve">  ProcessDescription, PropositionId, ManualMinutes, ColleagueHourly, IsActive)</w:t>
      </w:r>
    </w:p>
    <w:p>
      <w:pPr>
        <w:shd w:fill="F4F6F8" w:val="clear"/>
        <w:spacing w:after="120" w:before="60"/>
      </w:pPr>
      <w:r>
        <w:rPr>
          <w:rFonts w:ascii="Consolas" w:cs="Consolas" w:eastAsia="Consolas" w:hAnsi="Consolas"/>
          <w:sz w:val="18"/>
          <w:szCs w:val="18"/>
        </w:rPr>
        <w:t xml:space="preserve">VALUES (109, 'Annuity Set-up', 'ANS',</w:t>
      </w:r>
    </w:p>
    <w:p>
      <w:pPr>
        <w:shd w:fill="F4F6F8" w:val="clear"/>
        <w:spacing w:after="120" w:before="60"/>
      </w:pPr>
      <w:r>
        <w:rPr>
          <w:rFonts w:ascii="Consolas" w:cs="Consolas" w:eastAsia="Consolas" w:hAnsi="Consolas"/>
          <w:sz w:val="18"/>
          <w:szCs w:val="18"/>
        </w:rPr>
        <w:t xml:space="preserve">        'New annuity policy set-up and first payment', 6, 30, 35.0, 1);</w:t>
      </w:r>
    </w:p>
    <w:p>
      <w:pPr>
        <w:spacing w:after="140"/>
      </w:pPr>
      <w:r>
        <w:t xml:space="preserve">To rename a process or change its acronym or description as shown in the dashboard, update the row by ProcessId; the queue mappings and history are unaffected:</w:t>
      </w:r>
    </w:p>
    <w:p>
      <w:pPr>
        <w:shd w:fill="F4F6F8" w:val="clear"/>
        <w:spacing w:after="120" w:before="60"/>
      </w:pPr>
      <w:r>
        <w:rPr>
          <w:rFonts w:ascii="Consolas" w:cs="Consolas" w:eastAsia="Consolas" w:hAnsi="Consolas"/>
          <w:sz w:val="18"/>
          <w:szCs w:val="18"/>
        </w:rPr>
        <w:t xml:space="preserve">UPDATE core.RefProcess SET ProcessName = 'Annuity Set-up (UK)',</w:t>
      </w:r>
    </w:p>
    <w:p>
      <w:pPr>
        <w:shd w:fill="F4F6F8" w:val="clear"/>
        <w:spacing w:after="120" w:before="60"/>
      </w:pPr>
      <w:r>
        <w:rPr>
          <w:rFonts w:ascii="Consolas" w:cs="Consolas" w:eastAsia="Consolas" w:hAnsi="Consolas"/>
          <w:sz w:val="18"/>
          <w:szCs w:val="18"/>
        </w:rPr>
        <w:t xml:space="preserve">  ProcessAcronym = 'ANSUK' WHERE ProcessId = 109;</w:t>
      </w:r>
    </w:p>
    <w:p>
      <w:pPr>
        <w:pStyle w:val="Heading2"/>
      </w:pPr>
      <w:r>
        <w:t xml:space="preserve">Mapping a new queue, including multi-queue processes</w:t>
      </w:r>
    </w:p>
    <w:p>
      <w:pPr>
        <w:spacing w:after="140"/>
      </w:pPr>
      <w:r>
        <w:t xml:space="preserve">When a new queue appears in the exports, map it in core.RefQueueMap. The pull procedure issues a warning when an unmapped queue is present. A process can span several queues: map each queue to the same ProcessId, and optionally label each as a stage.</w:t>
      </w:r>
    </w:p>
    <w:p>
      <w:pPr>
        <w:shd w:fill="F4F6F8" w:val="clear"/>
        <w:spacing w:after="120" w:before="60"/>
      </w:pPr>
      <w:r>
        <w:rPr>
          <w:rFonts w:ascii="Consolas" w:cs="Consolas" w:eastAsia="Consolas" w:hAnsi="Consolas"/>
          <w:sz w:val="18"/>
          <w:szCs w:val="18"/>
        </w:rPr>
        <w:t xml:space="preserve">INSERT INTO core.RefQueueMap (QueueName, ProcessId, StageName, StageOrder)</w:t>
      </w:r>
    </w:p>
    <w:p>
      <w:pPr>
        <w:shd w:fill="F4F6F8" w:val="clear"/>
        <w:spacing w:after="120" w:before="60"/>
      </w:pPr>
      <w:r>
        <w:rPr>
          <w:rFonts w:ascii="Consolas" w:cs="Consolas" w:eastAsia="Consolas" w:hAnsi="Consolas"/>
          <w:sz w:val="18"/>
          <w:szCs w:val="18"/>
        </w:rPr>
        <w:t xml:space="preserve">VALUES ('ANNUITY_SETUP_INIT', 109, 'Initiation', 1),</w:t>
      </w:r>
    </w:p>
    <w:p>
      <w:pPr>
        <w:shd w:fill="F4F6F8" w:val="clear"/>
        <w:spacing w:after="120" w:before="60"/>
      </w:pPr>
      <w:r>
        <w:rPr>
          <w:rFonts w:ascii="Consolas" w:cs="Consolas" w:eastAsia="Consolas" w:hAnsi="Consolas"/>
          <w:sz w:val="18"/>
          <w:szCs w:val="18"/>
        </w:rPr>
        <w:t xml:space="preserve">       ('ANNUITY_SETUP_FINAL', 109, 'Completion', 2);</w:t>
      </w:r>
    </w:p>
    <w:p>
      <w:pPr>
        <w:spacing w:after="140"/>
      </w:pPr>
      <w:r>
        <w:t xml:space="preserve">Because process sits above queue, propositions and processes still filter cleanly when one process is spread across multiple queues. The StageName and StageOrder allow a process to be analysed by its stages where that matters.</w:t>
      </w:r>
    </w:p>
    <w:p>
      <w:pPr>
        <w:pStyle w:val="Heading2"/>
      </w:pPr>
      <w:r>
        <w:t xml:space="preserve">Exception classification: the recommended approach</w:t>
      </w:r>
    </w:p>
    <w:p>
      <w:pPr>
        <w:spacing w:after="140"/>
      </w:pPr>
      <w:r>
        <w:t xml:space="preserve">The Business versus System split does not exist natively in Blue Prism, so it has to be captured somewhere. There are two ways, and the merge supports both, preferring the first.</w:t>
      </w:r>
    </w:p>
    <w:p>
      <w:pPr>
        <w:spacing w:after="140"/>
      </w:pPr>
      <w:r>
        <w:t xml:space="preserve">Preferred: classify at source with a prefix. When a process raises an exception, prefix the exception detail with a standard token, "Business Exception" or "System Exception", for example "System Exception: timeout waiting for mainframe" or "Business Exception: customer record not found". The merge reads that prefix and classifies deterministically, with no pattern maintenance. This is best practice because the developer raising the exception knows at that moment which type it is, the classification then needs no guessing downstream, and Control Room and session logs become self-documenting too. A prefix always wins, even if the body of the message contains a word a fallback pattern would map differently.</w:t>
      </w:r>
    </w:p>
    <w:p>
      <w:pPr>
        <w:spacing w:after="140"/>
      </w:pPr>
      <w:r>
        <w:t xml:space="preserve">Fallback during transition: pattern matching. For exceptions not yet prefixed, the merge falls back to the patterns in core.RefExceptionType. This is the transitional mechanism, not the destination. Add a pattern only to cover un-prefixed exceptions until the relevant process is updated:</w:t>
      </w:r>
    </w:p>
    <w:p>
      <w:pPr>
        <w:shd w:fill="F4F6F8" w:val="clear"/>
        <w:spacing w:after="120" w:before="60"/>
      </w:pPr>
      <w:r>
        <w:rPr>
          <w:rFonts w:ascii="Consolas" w:cs="Consolas" w:eastAsia="Consolas" w:hAnsi="Consolas"/>
          <w:sz w:val="18"/>
          <w:szCs w:val="18"/>
        </w:rPr>
        <w:t xml:space="preserve">INSERT INTO core.RefExceptionType (MatchPattern, ExceptionType, Priority)</w:t>
      </w:r>
    </w:p>
    <w:p>
      <w:pPr>
        <w:shd w:fill="F4F6F8" w:val="clear"/>
        <w:spacing w:after="120" w:before="60"/>
      </w:pPr>
      <w:r>
        <w:rPr>
          <w:rFonts w:ascii="Consolas" w:cs="Consolas" w:eastAsia="Consolas" w:hAnsi="Consolas"/>
          <w:sz w:val="18"/>
          <w:szCs w:val="18"/>
        </w:rPr>
        <w:t xml:space="preserve">VALUES ('%service unavailable%', 'System', 110);</w:t>
      </w:r>
    </w:p>
    <w:p>
      <w:pPr>
        <w:spacing w:after="140"/>
      </w:pPr>
      <w:r>
        <w:t xml:space="preserve">Patterns use LIKE, so include % wildcards; on ties, higher Priority and longer patterns win; anything still unmatched defaults to Business.</w:t>
      </w:r>
    </w:p>
    <w:p>
      <w:pPr>
        <w:spacing w:after="140"/>
      </w:pPr>
      <w:r>
        <w:t xml:space="preserve">Migration path. Adopt the prefix as standard for all new process builds immediately. Retrofit existing processes opportunistically or in a deliberate sweep, updating the exception-raising stages to emit the prefix. As coverage grows, more exceptions classify deterministically and the pattern list shrinks toward zero. There is no big-bang cutover: the two mechanisms coexist, with the prefix always taking precedence.</w:t>
      </w:r>
    </w:p>
    <w:p>
      <w:pPr>
        <w:spacing w:after="140"/>
      </w:pPr>
      <w:r>
        <w:t xml:space="preserve">Retrospective correction at source. To make historic data classify correctly without relying on patterns forever, run a one-off update on past exception reasons to inject the correct prefix where the mapping is confident. Because the merge reads the prefix on every pull, corrected history then filters through deterministically. Apply such updates at the Blue Prism / source side where possible so the correction lives with the data, not only in the analytics layer. Where that is not possible, the same correction can be applied to the reason text as it lands, but source-side is preferable so all consumers benefit, not just this dashboard.</w:t>
      </w:r>
    </w:p>
    <w:p>
      <w:pPr>
        <w:pStyle w:val="Heading2"/>
      </w:pPr>
      <w:r>
        <w:t xml:space="preserve">Using tags</w:t>
      </w:r>
    </w:p>
    <w:p>
      <w:pPr>
        <w:spacing w:after="140"/>
      </w:pPr>
      <w:r>
        <w:t xml:space="preserve">Tags arrive on the work queue item as a single delimited field and are carried through to the fact unchanged. For filtering by an individual tag in Power BI, the cleanest approach is to split them in SQL into a bridge table (one row per item per tag) and relate it to the fact. If that is wanted, it is a small addition: a core.FactItemTag table populated in the merge by splitting on the delimiter with STRING_SPLIT. Flagged here as the recommended next step if tag-level filtering matters; left out of the base build to keep the first version simple.</w:t>
      </w:r>
    </w:p>
    <w:p>
      <w:pPr>
        <w:pStyle w:val="Heading1"/>
      </w:pPr>
      <w:r>
        <w:t xml:space="preserve">6. The cost model and how estate cost is apportioned</w:t>
      </w:r>
    </w:p>
    <w:p>
      <w:pPr>
        <w:spacing w:after="140"/>
      </w:pPr>
      <w:r>
        <w:t xml:space="preserve">Two distinct cost questions are answered separately, and keeping them separate is what makes the figures defensible.</w:t>
      </w:r>
    </w:p>
    <w:p>
      <w:pPr>
        <w:pStyle w:val="Heading2"/>
      </w:pPr>
      <w:r>
        <w:t xml:space="preserve">Two separate people-costs, never conflated</w:t>
      </w:r>
    </w:p>
    <w:p>
      <w:pPr>
        <w:spacing w:after="140"/>
      </w:pPr>
      <w:r>
        <w:t xml:space="preserve">The model deliberately holds two completely different people-costs, for two different populations, and they must never be confused. One is the cost of delivering the estate; the other is the value the estate releases.</w:t>
      </w:r>
    </w:p>
    <w:p>
      <w:pPr>
        <w:spacing w:after="140"/>
      </w:pPr>
      <w:r>
        <w:t xml:space="preserve">Engineering cost to build and run the estate. This is the automation team itself, held as the blended team cost in core.RefEstateCostHistory and pooled with infrastructure. It is the cost side, and it only ever appears in estate cost, cost per task or case, and net benefit. It answers what it costs the function to deliver.</w:t>
      </w:r>
    </w:p>
    <w:p>
      <w:pPr>
        <w:spacing w:after="140"/>
      </w:pPr>
      <w:r>
        <w:t xml:space="preserve">Value released to the business. This is a different population entirely: the business operational colleagues who would otherwise do the work manually. Their fully loaded blended cost is ColleagueHourly on core.RefProcess, multiplied by ManualMinutes per case. It is the value side, and it only ever appears in gross benefit and FTE-equivalent. It answers what it would have cost the business to do this work with people.</w:t>
      </w:r>
    </w:p>
    <w:p>
      <w:pPr>
        <w:spacing w:after="140"/>
      </w:pPr>
      <w:r>
        <w:rPr>
          <w:b/>
          <w:bCs/>
        </w:rPr>
        <w:t xml:space="preserve">The two never touch except at one deliberate point: net benefit equals gross benefit minus estate cost, which is precisely value released minus the cost to release it. That subtraction is the only place they meet, and it is the correct one. The critical data-entry rule that protects this: ColleagueHourly must be the displaced business colleague's rate, never the engineering team's rate. Entering an engineering rate here would value the benefit at the wrong population and corrupt the entire benefit figure.</w:t>
      </w:r>
    </w:p>
    <w:p>
      <w:pPr>
        <w:pStyle w:val="Heading2"/>
      </w:pPr>
      <w:r>
        <w:t xml:space="preserve">Per-case benefit (attributed through the process)</w:t>
      </w:r>
    </w:p>
    <w:p>
      <w:pPr>
        <w:spacing w:after="140"/>
      </w:pPr>
      <w:r>
        <w:t xml:space="preserve">The value a completed case delivers is the manual effort it removed, valued at the business colleague rate for that process. This lives as ManualMinutes and ColleagueHourly on core.RefProcess. It is deliberately independent of infrastructure: a completed Pension Transfer is worth the same whether it ran on one VDI or another, because the benefit is what a business colleague would have cost to do the case. This is the gross benefit and FTE-equivalent figures in vw_Commercial and vw_KPIHeadline.</w:t>
      </w:r>
    </w:p>
    <w:p>
      <w:pPr>
        <w:pStyle w:val="Heading2"/>
      </w:pPr>
      <w:r>
        <w:t xml:space="preserve">Estate cost (a shared, time-varying pool, apportioned by worktime)</w:t>
      </w:r>
    </w:p>
    <w:p>
      <w:pPr>
        <w:spacing w:after="140"/>
      </w:pPr>
      <w:r>
        <w:t xml:space="preserve">Team cost and infrastructure cost are a single shared pool. They are not attributed through the VDI. This matters because VDIs serve many processes across many propositions, so allocating a VDI's cost to the work it ran would mean a per-VDI split that shifts every period and cannot be defended. Instead the pooled estate cost is apportioned to each process by that process's share of total bot worktime.</w:t>
      </w:r>
    </w:p>
    <w:p>
      <w:pPr>
        <w:spacing w:after="140"/>
      </w:pPr>
      <w:r>
        <w:t xml:space="preserve">Worktime is the right basis because a long case draws more shared capacity than a short one, so weighting by worktime makes heavy processes carry a fairer share than an even per-case split would. Over the periods this is reported on (monthly, quarterly, annually) worktime is a large, stable aggregate, so the apportionment is both more accurate and just as reliable as a count-based one. The volatility that could affect a worktime split only appears at very short windows, which are never the reporting grain.</w:t>
      </w:r>
    </w:p>
    <w:p>
      <w:pPr>
        <w:spacing w:after="140"/>
      </w:pPr>
      <w:r>
        <w:t xml:space="preserve">Because cost flows through process and worktime, never through the VDI, the fact that VDIs serve multiple processes and propositions has no effect on the cost figures at all. A VDI serving a dozen processes across all three divisions changes nothing. The VDI-to-work relationship is used only for utilisation analysis in vw_ResourceUtil (throughput, exception rate, capacity), which is a capacity question, not a cost-allocation one.</w:t>
      </w:r>
    </w:p>
    <w:p>
      <w:pPr>
        <w:pStyle w:val="Heading2"/>
      </w:pPr>
      <w:r>
        <w:t xml:space="preserve">Cost over time (why the pool is time-varying)</w:t>
      </w:r>
    </w:p>
    <w:p>
      <w:pPr>
        <w:spacing w:after="140"/>
      </w:pPr>
      <w:r>
        <w:t xml:space="preserve">Estate cost changes as people join and leave and as the VDI estate scales. A single current figure could not give a true cost over time, because updating it would recost all history at the latest rate. The estate pool therefore has two time-correct parts. Team cost is held in core.RefEstateCostHistory as a series of cost periods, each effective from a date. Infrastructure cost is derived from the VDI estate that was live at the time.</w:t>
      </w:r>
    </w:p>
    <w:p>
      <w:pPr>
        <w:spacing w:after="140"/>
      </w:pPr>
      <w:r>
        <w:t xml:space="preserve">How infrastructure cost tracks the estate. Each VDI in core.RefResource has an ActiveFrom and ActiveTo date and a cost class (prod or test). For any given day, infra cost is the sum, across the VDIs live that day, of that VDI's class rate (from core.RefVDICostHistory) in force that day. So when a VDI is retired its contribution stops from its retirement date, and when one is added its contribution begins, automatically, with no blended infra figure to maintain. Historic periods reflect the estate that genuinely existed then. This is the true point-in-time infrastructure cost.</w:t>
      </w:r>
    </w:p>
    <w:p>
      <w:pPr>
        <w:spacing w:after="140"/>
      </w:pPr>
      <w:r>
        <w:t xml:space="preserve">Crucially, this does not change how cost reaches processes. The derived infra cost feeds the estate pool for the period; that pool is still apportioned to processes by worktime share, never per-VDI. The VDI lifecycle only sizes the infra pool over time. It never allocates infrastructure to a process via the machine, which would be volatile and indefensible because VDIs serve many processes.</w:t>
      </w:r>
    </w:p>
    <w:p>
      <w:pPr>
        <w:spacing w:after="140"/>
      </w:pPr>
      <w:r>
        <w:t xml:space="preserve">The mechanism for apportioning: for each day, the estate cost in force that day (team plus derived infra) is converted to a cost per bot-second (that day's estate cost divided by that day's total worktime), and each case carries its worktime multiplied by that rate. This composes correctly at every grain. Summing the per-case cost over a month, a quarter or a year gives the true apportioned estate cost for that span, costed at the rates and the VDI estate that were actually in force. Within any single period the process shares still match worktime shares exactly. Changes going forward never recost the past.</w:t>
      </w:r>
    </w:p>
    <w:p>
      <w:pPr>
        <w:spacing w:after="140"/>
      </w:pPr>
      <w:r>
        <w:t xml:space="preserve">One consequence to communicate to Finance: a figure that spans more than one cost period, such as a full-year cost per case, is a genuine blend of the team rates, VDI estate and class rates in force across that span, weighted by where the work fell. It is not today's rate times volume, and should not be reconciled against a flat-rate calculation. The working assumptions (working days per year, productive hours per day) are versioned alongside team cost, so FTE-equivalent figures are also time-correct.</w:t>
      </w:r>
    </w:p>
    <w:p>
      <w:pPr>
        <w:spacing w:after="140"/>
      </w:pPr>
      <w:r>
        <w:t xml:space="preserve">Interpretation to communicate to Finance: cost per completed case is the fully loaded estate cost spread across the work done, weighted by capacity drawn. Idle VDI time is not in the denominator, so idle cost is carried by the work that did run, which is correct. It is not the marginal cost of one more case.</w:t>
      </w:r>
    </w:p>
    <w:p>
      <w:pPr>
        <w:pStyle w:val="Heading2"/>
      </w:pPr>
      <w:r>
        <w:t xml:space="preserve">Sensitivity: blended figures only</w:t>
      </w:r>
    </w:p>
    <w:p>
      <w:pPr>
        <w:spacing w:after="140"/>
      </w:pPr>
      <w:r>
        <w:rPr>
          <w:b/>
          <w:bCs/>
        </w:rPr>
        <w:t xml:space="preserve">The team cost table holds only a single blended, pooled team cost per period. It never holds individual people or their salaries, and a blended figure cannot be decomposed back to individuals. This is deliberate, so the cost data is safe for anyone with dashboard access to see. When updating the team cost, enter one pooled annualised figure, however that figure is derived offline. Per-VDI costs are class rates (prod, test), not per-person figures, so they carry no personal sensitivity.</w:t>
      </w:r>
    </w:p>
    <w:p>
      <w:pPr>
        <w:pStyle w:val="Heading2"/>
      </w:pPr>
      <w:r>
        <w:t xml:space="preserve">The commercial measures and where they live</w:t>
      </w:r>
    </w:p>
    <w:p>
      <w:pPr>
        <w:spacing w:after="140"/>
      </w:pPr>
      <w:r>
        <w:t xml:space="preserve">Task versus case. A task is one completed work queue item, the unit of bot work, identified by the item ID. A case is the business unit, identified by KeyValue, and one case can span several tasks (Blue Prism allows the same key value across multiple items, for example a multi-step process). Cost per task divides estate cost by completed tasks; cost per case divides by distinct completed business keys. Where every item has a unique key, the two are identical; where processes reuse key values across steps, they differ. Both are computed so the team can use whichever fits a given process.</w:t>
      </w:r>
    </w:p>
    <w:p>
      <w:pPr>
        <w:spacing w:after="140"/>
      </w:pPr>
      <w:r>
        <w:t xml:space="preserve">The full set, all computed in SQL:</w:t>
      </w:r>
    </w:p>
    <w:p>
      <w:pPr>
        <w:pStyle w:val="ListParagraph"/>
        <w:numPr>
          <w:ilvl w:val="0"/>
          <w:numId w:val="1"/>
        </w:numPr>
        <w:spacing w:after="80"/>
      </w:pPr>
      <w:r>
        <w:t xml:space="preserve">Per process and proposition (vw_Commercial): completed tasks, completed cases, gross benefit, FTE equivalent saved, apportioned estate cost, cost per completed task, cost per completed case, net benefit.</w:t>
      </w:r>
    </w:p>
    <w:p>
      <w:pPr>
        <w:pStyle w:val="ListParagraph"/>
        <w:numPr>
          <w:ilvl w:val="0"/>
          <w:numId w:val="1"/>
        </w:numPr>
        <w:spacing w:after="80"/>
      </w:pPr>
      <w:r>
        <w:t xml:space="preserve">Monthly time series with cumulative benefit (vw_CommercialMonthly): monthly completed tasks and cases, gross benefit, estate cost, net benefit, plus two running totals. Year-to-date cumulative (gross benefit, net benefit, tasks) resets at the start of each calendar year. All-time cumulative (gross benefit, net benefit, tasks) never resets and climbs continuously across years, the total value the estate has ever delivered. Both drive cumulative-benefit charts and baselines.</w:t>
      </w:r>
    </w:p>
    <w:p>
      <w:pPr>
        <w:pStyle w:val="ListParagraph"/>
        <w:numPr>
          <w:ilvl w:val="0"/>
          <w:numId w:val="1"/>
        </w:numPr>
        <w:spacing w:after="80"/>
      </w:pPr>
      <w:r>
        <w:t xml:space="preserve">Whole-estate rollup (vw_CommercialOverall): overall completed tasks and cases, overall gross benefit, overall estate cost, overall net benefit, and blended cost per task and per case across all data. The single-figure totals for headline reporting.</w:t>
      </w:r>
    </w:p>
    <w:p>
      <w:pPr>
        <w:pStyle w:val="ListParagraph"/>
        <w:numPr>
          <w:ilvl w:val="0"/>
          <w:numId w:val="1"/>
        </w:numPr>
        <w:spacing w:after="80"/>
      </w:pPr>
      <w:r>
        <w:t xml:space="preserve">Headline KPI block (vw_KPIHeadline): completed and exception counts, business/system split, completion percentage, colleague hours saved, gross benefit, FTE equivalent, estate cost and net benefit.</w:t>
      </w:r>
    </w:p>
    <w:p>
      <w:pPr>
        <w:spacing w:after="140"/>
      </w:pPr>
      <w:r>
        <w:t xml:space="preserve">Two cumulative bases are provided: year-to-date (resets each calendar year, so each year builds from zero) and all-time (never resets, the continuously climbing total the estate has ever delivered). Both are columns in vw_CommercialMonthly, so a chart can show either or both. If a rolling window (for example trailing twelve months) is wanted later, it is a small change to the window frame in vw_CommercialMonthly.</w:t>
      </w:r>
    </w:p>
    <w:p>
      <w:pPr>
        <w:pStyle w:val="Heading1"/>
      </w:pPr>
      <w:r>
        <w:t xml:space="preserve">7. Dates, types and the month-sorting fix</w:t>
      </w:r>
    </w:p>
    <w:p>
      <w:pPr>
        <w:spacing w:after="140"/>
      </w:pPr>
      <w:r>
        <w:t xml:space="preserve">All dates are parsed once in the staging load using TRY_CONVERT, which returns NULL on an unparseable value rather than failing the whole load. The default expects ISO-style "yyyy-mm-dd hh:mi:ss". If the export uses UK "dd/mm/yyyy", change the TRY_CONVERT style in 05_proc_load_staging.sql to style 103 (date) or 105, as noted in the script comments.</w:t>
      </w:r>
    </w:p>
    <w:p>
      <w:pPr>
        <w:spacing w:after="140"/>
      </w:pPr>
      <w:r>
        <w:t xml:space="preserve">The calendar dimension solves the month-sorting problem. Power BI sorts text alphabetically, so "Apr-26" would appear before "Jan-26". The calendar provides matched pairs: a display label and a numeric sort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b/>
                <w:bCs/>
                <w:color w:val="FFFFFF"/>
                <w:sz w:val="18"/>
                <w:szCs w:val="18"/>
              </w:rPr>
              <w:t xml:space="preserve">Display column</w:t>
            </w:r>
          </w:p>
        </w:tc>
        <w:tc>
          <w:tcPr>
            <w:tcW w:type="dxa" w:w="28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b/>
                <w:bCs/>
                <w:color w:val="FFFFFF"/>
                <w:sz w:val="18"/>
                <w:szCs w:val="18"/>
              </w:rPr>
              <w:t xml:space="preserve">Sort-by column</w:t>
            </w:r>
          </w:p>
        </w:tc>
        <w:tc>
          <w:tcPr>
            <w:tcW w:type="dxa" w:w="37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MonthLabel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MonthSortKey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Jan-26  /  202601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QuarterLabel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QuarterSortKey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Q1-26  /  20261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MonthShort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MonthNumber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  /  1</w:t>
            </w:r>
          </w:p>
        </w:tc>
      </w:tr>
    </w:tbl>
    <w:p>
      <w:pPr>
        <w:spacing w:after="140"/>
      </w:pPr>
      <w:r>
        <w:t xml:space="preserve">In Power BI, once: select MonthLabel, open Column tools, set Sort by column to MonthSortKey. Repeat for QuarterLabel to QuarterSortKey. Every visual then orders time chronologically forever. This is the recommended short format: Jan-26 style, three-letter month plus two-digit year, compact and unambiguous.</w:t>
      </w:r>
    </w:p>
    <w:p>
      <w:pPr>
        <w:pStyle w:val="Heading1"/>
      </w:pPr>
      <w:r>
        <w:t xml:space="preserve">8. Power BI model setup</w:t>
      </w:r>
    </w:p>
    <w:p>
      <w:pPr>
        <w:spacing w:after="140"/>
      </w:pPr>
      <w:r>
        <w:t xml:space="preserve">Connect Power BI to the report views only. Import mode is recommended now the heavy lifting is in SQL and the fact is at case grain, not millions of stage-level rows.</w:t>
      </w:r>
    </w:p>
    <w:p>
      <w:pPr>
        <w:spacing w:after="140"/>
      </w:pPr>
      <w:r>
        <w:t xml:space="preserve">Tables to load:</w:t>
      </w:r>
    </w:p>
    <w:p>
      <w:pPr>
        <w:pStyle w:val="ListParagraph"/>
        <w:numPr>
          <w:ilvl w:val="0"/>
          <w:numId w:val="1"/>
        </w:numPr>
        <w:spacing w:after="80"/>
      </w:pPr>
      <w:r>
        <w:t xml:space="preserve">report.vw_FactWorkItem (the fact, item grain)</w:t>
      </w:r>
    </w:p>
    <w:p>
      <w:pPr>
        <w:pStyle w:val="ListParagraph"/>
        <w:numPr>
          <w:ilvl w:val="0"/>
          <w:numId w:val="1"/>
        </w:numPr>
        <w:spacing w:after="80"/>
      </w:pPr>
      <w:r>
        <w:t xml:space="preserve">report.vw_DimProcess (process name, acronym, description, proposition, cost)</w:t>
      </w:r>
    </w:p>
    <w:p>
      <w:pPr>
        <w:pStyle w:val="ListParagraph"/>
        <w:numPr>
          <w:ilvl w:val="0"/>
          <w:numId w:val="1"/>
        </w:numPr>
        <w:spacing w:after="80"/>
      </w:pPr>
      <w:r>
        <w:t xml:space="preserve">report.vw_DimResource (robot / VDI)</w:t>
      </w:r>
    </w:p>
    <w:p>
      <w:pPr>
        <w:pStyle w:val="ListParagraph"/>
        <w:numPr>
          <w:ilvl w:val="0"/>
          <w:numId w:val="1"/>
        </w:numPr>
        <w:spacing w:after="80"/>
      </w:pPr>
      <w:r>
        <w:t xml:space="preserve">report.vw_DimCalendar (dates with sortable labels)</w:t>
      </w:r>
    </w:p>
    <w:p>
      <w:pPr>
        <w:pStyle w:val="ListParagraph"/>
        <w:numPr>
          <w:ilvl w:val="0"/>
          <w:numId w:val="1"/>
        </w:numPr>
        <w:spacing w:after="80"/>
      </w:pPr>
      <w:r>
        <w:t xml:space="preserve">The aggregated views as needed for specific pages: vw_DailyOutcomes, vw_MonthlyOutcomes, vw_ExceptionDetail, vw_ExceptionCost, vw_ResourceUtil, vw_Commercial, vw_CommercialMonthly, vw_CommercialOverall, vw_KPIHeadline</w:t>
      </w:r>
    </w:p>
    <w:p>
      <w:pPr>
        <w:spacing w:after="140"/>
      </w:pPr>
      <w:r>
        <w:t xml:space="preserve">Relationships in the model view:</w:t>
      </w:r>
    </w:p>
    <w:p>
      <w:pPr>
        <w:pStyle w:val="ListParagraph"/>
        <w:numPr>
          <w:ilvl w:val="0"/>
          <w:numId w:val="1"/>
        </w:numPr>
        <w:spacing w:after="80"/>
      </w:pPr>
      <w:r>
        <w:t xml:space="preserve">vw_FactWorkItem[ProcessId] to vw_DimProcess[ProcessId], single direction, one process to many items.</w:t>
      </w:r>
    </w:p>
    <w:p>
      <w:pPr>
        <w:pStyle w:val="ListParagraph"/>
        <w:numPr>
          <w:ilvl w:val="0"/>
          <w:numId w:val="1"/>
        </w:numPr>
        <w:spacing w:after="80"/>
      </w:pPr>
      <w:r>
        <w:t xml:space="preserve">vw_FactWorkItem[Resource] to vw_DimResource[ResourceName], single direction.</w:t>
      </w:r>
    </w:p>
    <w:p>
      <w:pPr>
        <w:pStyle w:val="ListParagraph"/>
        <w:numPr>
          <w:ilvl w:val="0"/>
          <w:numId w:val="1"/>
        </w:numPr>
        <w:spacing w:after="80"/>
      </w:pPr>
      <w:r>
        <w:t xml:space="preserve">vw_FactWorkItem[OutcomeDateKey] to vw_DimCalendar[DateKey], single direction, mark vw_DimCalendar as the date table.</w:t>
      </w:r>
    </w:p>
    <w:p>
      <w:pPr>
        <w:spacing w:after="140"/>
      </w:pPr>
      <w:r>
        <w:t xml:space="preserve">Set the Sort by column properties on MonthLabel and QuarterLabel as described in section 7. That is the only model configuration step beyond relationships.</w:t>
      </w:r>
    </w:p>
    <w:p>
      <w:pPr>
        <w:pStyle w:val="Heading2"/>
      </w:pPr>
      <w:r>
        <w:t xml:space="preserve">On not adding measures</w:t>
      </w:r>
    </w:p>
    <w:p>
      <w:pPr>
        <w:spacing w:after="140"/>
      </w:pPr>
      <w:r>
        <w:t xml:space="preserve">The views deliver counts, percentages, costs, FTE and benefit already computed, so most visuals bind straight to a column. The only measures worth adding in Power BI are trivial display aggregations the visuals need, for example a SUM over a pre-computed column, or a single SUM of ItemCount. These are not business logic, they are how a visual totals a column. Keep anything with actual logic in SQL.</w:t>
      </w:r>
    </w:p>
    <w:p>
      <w:pPr>
        <w:pStyle w:val="Heading1"/>
      </w:pPr>
      <w:r>
        <w:t xml:space="preserve">9. Verifying a build</w:t>
      </w:r>
    </w:p>
    <w:p>
      <w:pPr>
        <w:spacing w:after="140"/>
      </w:pPr>
      <w:r>
        <w:t xml:space="preserve">After building and loading, sanity-check with these:</w:t>
      </w:r>
    </w:p>
    <w:p>
      <w:pPr>
        <w:shd w:fill="F4F6F8" w:val="clear"/>
        <w:spacing w:after="120" w:before="60"/>
      </w:pPr>
      <w:r>
        <w:rPr>
          <w:rFonts w:ascii="Consolas" w:cs="Consolas" w:eastAsia="Consolas" w:hAnsi="Consolas"/>
          <w:sz w:val="18"/>
          <w:szCs w:val="18"/>
        </w:rPr>
        <w:t xml:space="preserve">SELECT * FROM report.vw_KPIHeadline;        -- headline totals</w:t>
      </w:r>
    </w:p>
    <w:p>
      <w:pPr>
        <w:shd w:fill="F4F6F8" w:val="clear"/>
        <w:spacing w:after="120" w:before="60"/>
      </w:pPr>
      <w:r>
        <w:rPr>
          <w:rFonts w:ascii="Consolas" w:cs="Consolas" w:eastAsia="Consolas" w:hAnsi="Consolas"/>
          <w:sz w:val="18"/>
          <w:szCs w:val="18"/>
        </w:rPr>
        <w:t xml:space="preserve">SELECT TOP 20 * FROM report.vw_ExceptionDetail</w:t>
      </w:r>
    </w:p>
    <w:p>
      <w:pPr>
        <w:shd w:fill="F4F6F8" w:val="clear"/>
        <w:spacing w:after="120" w:before="60"/>
      </w:pPr>
      <w:r>
        <w:rPr>
          <w:rFonts w:ascii="Consolas" w:cs="Consolas" w:eastAsia="Consolas" w:hAnsi="Consolas"/>
          <w:sz w:val="18"/>
          <w:szCs w:val="18"/>
        </w:rPr>
        <w:t xml:space="preserve">  ORDER BY Volume DESC;                      -- top exceptions</w:t>
      </w:r>
    </w:p>
    <w:p>
      <w:pPr>
        <w:shd w:fill="F4F6F8" w:val="clear"/>
        <w:spacing w:after="120" w:before="60"/>
      </w:pPr>
      <w:r>
        <w:rPr>
          <w:rFonts w:ascii="Consolas" w:cs="Consolas" w:eastAsia="Consolas" w:hAnsi="Consolas"/>
          <w:sz w:val="18"/>
          <w:szCs w:val="18"/>
        </w:rPr>
        <w:t xml:space="preserve">SELECT * FROM report.vw_Commercial</w:t>
      </w:r>
    </w:p>
    <w:p>
      <w:pPr>
        <w:shd w:fill="F4F6F8" w:val="clear"/>
        <w:spacing w:after="120" w:before="60"/>
      </w:pPr>
      <w:r>
        <w:rPr>
          <w:rFonts w:ascii="Consolas" w:cs="Consolas" w:eastAsia="Consolas" w:hAnsi="Consolas"/>
          <w:sz w:val="18"/>
          <w:szCs w:val="18"/>
        </w:rPr>
        <w:t xml:space="preserve">  ORDER BY GrossBenefitGBP DESC;             -- value by process</w:t>
      </w:r>
    </w:p>
    <w:p>
      <w:pPr>
        <w:spacing w:after="140"/>
      </w:pPr>
      <w:r>
        <w:t xml:space="preserve">Then re-run EXEC core.usp_RunPull with the same staging data and confirm the fact total does not change. That proves the merge is idempotent: re-running a pull never duplicates or corrupts data.</w:t>
      </w:r>
    </w:p>
    <w:p>
      <w:pPr>
        <w:spacing w:after="140"/>
      </w:pPr>
      <w:r>
        <w:t xml:space="preserve">Calendar range. The date dimension is built for a fixed span (2023 to end 2027 in the shipped build). Cases dated outside that span would not resolve a calendar row and would drop from the date-joined views. Before data approaches the end of the range, extend the @EndDate in 04_fact_and_calendar.sql and re-run that script. Likewise the earliest estate cost period in RefEstateCostHistory must start on or before the earliest data, so every case resolves a cost rate.</w:t>
      </w:r>
    </w:p>
    <w:p>
      <w:pPr>
        <w:pStyle w:val="Heading1"/>
      </w:pPr>
      <w:r>
        <w:t xml:space="preserve">10. Automatic refresh via the data gateway</w:t>
      </w:r>
    </w:p>
    <w:p>
      <w:pPr>
        <w:spacing w:after="140"/>
      </w:pPr>
      <w:r>
        <w:t xml:space="preserve">To refresh the published report on a schedule against the on-premises SQL Server, Power BI needs an on-premises data gateway. The gateway is the bridge between the Power BI cloud service and the on-premises SQL Server.</w:t>
      </w:r>
    </w:p>
    <w:p>
      <w:pPr>
        <w:pStyle w:val="Heading2"/>
      </w:pPr>
      <w:r>
        <w:t xml:space="preserve">Gateway essentials</w:t>
      </w:r>
    </w:p>
    <w:p>
      <w:pPr>
        <w:pStyle w:val="ListParagraph"/>
        <w:numPr>
          <w:ilvl w:val="0"/>
          <w:numId w:val="1"/>
        </w:numPr>
        <w:spacing w:after="80"/>
      </w:pPr>
      <w:r>
        <w:t xml:space="preserve">Use the standard (enterprise) gateway, not personal mode. Personal mode only works for the single user who installed it and cannot be shared.</w:t>
      </w:r>
    </w:p>
    <w:p>
      <w:pPr>
        <w:pStyle w:val="ListParagraph"/>
        <w:numPr>
          <w:ilvl w:val="0"/>
          <w:numId w:val="1"/>
        </w:numPr>
        <w:spacing w:after="80"/>
      </w:pPr>
      <w:r>
        <w:t xml:space="preserve">It installs on a Windows Server inside the network and makes only an outbound HTTPS connection to Azure Service Bus, so no inbound firewall ports are needed.</w:t>
      </w:r>
    </w:p>
    <w:p>
      <w:pPr>
        <w:pStyle w:val="ListParagraph"/>
        <w:numPr>
          <w:ilvl w:val="0"/>
          <w:numId w:val="1"/>
        </w:numPr>
        <w:spacing w:after="80"/>
      </w:pPr>
      <w:r>
        <w:t xml:space="preserve">Put it on an always-on dedicated VM, not a workstation, and not on the SQL Server box itself. Co-locating it with the database makes refresh spikes compete with the database for CPU and memory and couples two failure domains.</w:t>
      </w:r>
    </w:p>
    <w:p>
      <w:pPr>
        <w:pStyle w:val="ListParagraph"/>
        <w:numPr>
          <w:ilvl w:val="0"/>
          <w:numId w:val="1"/>
        </w:numPr>
        <w:spacing w:after="80"/>
      </w:pPr>
      <w:r>
        <w:t xml:space="preserve">Size it with headroom. Microsoft's 8-core, 8GB baseline is a floor; 16GB minimum is sensible, because the Power Query engine runs on the gateway machine and all refresh data flows through its memory. Put the spooling directory on fast disk.</w:t>
      </w:r>
    </w:p>
    <w:p>
      <w:pPr>
        <w:pStyle w:val="Heading2"/>
      </w:pPr>
      <w:r>
        <w:t xml:space="preserve">Setup sequence</w:t>
      </w:r>
    </w:p>
    <w:p>
      <w:pPr>
        <w:spacing w:after="140"/>
      </w:pPr>
      <w:r>
        <w:t xml:space="preserve">Once the gateway is installed and registered to the tenant:</w:t>
      </w:r>
    </w:p>
    <w:p>
      <w:pPr>
        <w:spacing w:after="140"/>
      </w:pPr>
      <w:r>
        <w:t xml:space="preserve">1. In the Power BI Service, go to Settings, then Manage connections and gateways, then New connection. Choose On-premises, enter the gateway cluster name, a connection name, and select SQL Server as the type.</w:t>
      </w:r>
    </w:p>
    <w:p>
      <w:pPr>
        <w:spacing w:after="140"/>
      </w:pPr>
      <w:r>
        <w:t xml:space="preserve">2. Supply the server and database connection details and the credentials all refresh queries will run under. Use a dedicated service account, not a personal login, so refresh does not break when a personal password rotates.</w:t>
      </w:r>
    </w:p>
    <w:p>
      <w:pPr>
        <w:spacing w:after="140"/>
      </w:pPr>
      <w:r>
        <w:t xml:space="preserve">3. Publish the report. In the semantic model settings, under Gateway connection, the gateway should appear as running. Bind to it.</w:t>
      </w:r>
    </w:p>
    <w:p>
      <w:pPr>
        <w:spacing w:after="140"/>
      </w:pPr>
      <w:r>
        <w:t xml:space="preserve">4. In the Refresh section, set Configure a refresh schedule to On and define the time slots.</w:t>
      </w:r>
    </w:p>
    <w:p>
      <w:pPr>
        <w:spacing w:after="140"/>
      </w:pPr>
      <w:r>
        <w:rPr>
          <w:b/>
          <w:bCs/>
        </w:rPr>
        <w:t xml:space="preserve">Critical matching rule: the server and database names must be identical between Power BI Desktop and the gateway data source. The link is based on those names. If Desktop uses SERVER\INSTANCE, the gateway must too; if it uses an IP, the gateway must use the same IP. Mismatch is the most common reason the gateway does not appear as available for refresh.</w:t>
      </w:r>
    </w:p>
    <w:p>
      <w:pPr>
        <w:spacing w:after="140"/>
      </w:pPr>
      <w:r>
        <w:t xml:space="preserve">If refresh works in Desktop but fails in the Service, check the stored data-source credentials in the gateway first. Desktop uses the author's machine and credentials; the Service uses the gateway machine and the stored credentials, so a stale credential after a password change is the usual cause.</w:t>
      </w:r>
    </w:p>
    <w:p>
      <w:pPr>
        <w:pStyle w:val="Heading2"/>
      </w:pPr>
      <w:r>
        <w:t xml:space="preserve">Sequencing the refresh after the SQL pull</w:t>
      </w:r>
    </w:p>
    <w:p>
      <w:pPr>
        <w:spacing w:after="140"/>
      </w:pPr>
      <w:r>
        <w:t xml:space="preserve">Order matters. The end-to-end is: data lands in raw (Path A files loaded from the share, or Path B pulled from the API), the SQL pull runs (EXEC core.usp_RunPull), and only then should Power BI refresh. If the Power BI schedule fires before the merge finishes, it reads stale data.</w:t>
      </w:r>
    </w:p>
    <w:p>
      <w:pPr>
        <w:pStyle w:val="ListParagraph"/>
        <w:numPr>
          <w:ilvl w:val="0"/>
          <w:numId w:val="1"/>
        </w:numPr>
        <w:spacing w:after="80"/>
      </w:pPr>
      <w:r>
        <w:t xml:space="preserve">Preferred: trigger the Power BI refresh from the end of the SQL job, as its final step, using the Power BI REST API dataset refresh call. This guarantees Power BI only refreshes after the merge has completed.</w:t>
      </w:r>
    </w:p>
    <w:p>
      <w:pPr>
        <w:pStyle w:val="ListParagraph"/>
        <w:numPr>
          <w:ilvl w:val="0"/>
          <w:numId w:val="1"/>
        </w:numPr>
        <w:spacing w:after="80"/>
      </w:pPr>
      <w:r>
        <w:t xml:space="preserve">Simpler but looser: schedule the Power BI refresh comfortably after the SQL job's usual finish time. The coupling is then by clock, not by signal, so leave a safe margin.</w:t>
      </w:r>
    </w:p>
    <w:p>
      <w:pPr>
        <w:spacing w:after="140"/>
      </w:pPr>
      <w:r>
        <w:t xml:space="preserve">Expect the schedule to start within about 15 minutes of the slot, occasionally up to an hour later if the service is busy. Do not build anything that depends on refresh finishing at a precise minute. For an operational dashboard, refreshing a few times a day (for example early morning, midday, late afternoon), each sequenced after a SQL pull, is usually sufficient.</w:t>
      </w:r>
    </w:p>
    <w:p>
      <w:pPr>
        <w:pStyle w:val="Heading1"/>
      </w:pPr>
      <w:r>
        <w:t xml:space="preserve">11. Refresh time and what drives it</w:t>
      </w:r>
    </w:p>
    <w:p>
      <w:pPr>
        <w:spacing w:after="140"/>
      </w:pPr>
      <w:r>
        <w:t xml:space="preserve">Refresh time is dominated by the source query and the model, not the row count on its own. There is no clean universal seconds-per-million figure, but for a well-built import model on a clean star schema with a fast folding source query and sensible cardinality, a realistic rule of thumb is roughly one to four minutes per million rows end to end on a decently specced gateway.</w:t>
      </w:r>
    </w:p>
    <w:p>
      <w:pPr>
        <w:spacing w:after="140"/>
      </w:pPr>
      <w:r>
        <w:t xml:space="preserve">The spread is wide because the things that actually move it are:</w:t>
      </w:r>
    </w:p>
    <w:p>
      <w:pPr>
        <w:pStyle w:val="ListParagraph"/>
        <w:numPr>
          <w:ilvl w:val="0"/>
          <w:numId w:val="1"/>
        </w:numPr>
        <w:spacing w:after="80"/>
      </w:pPr>
      <w:r>
        <w:t xml:space="preserve">Column count and width. Every column imported costs time and memory. Import only what the views expose.</w:t>
      </w:r>
    </w:p>
    <w:p>
      <w:pPr>
        <w:pStyle w:val="ListParagraph"/>
        <w:numPr>
          <w:ilvl w:val="0"/>
          <w:numId w:val="1"/>
        </w:numPr>
        <w:spacing w:after="80"/>
      </w:pPr>
      <w:r>
        <w:t xml:space="preserve">Cardinality. High-cardinality text and datetime-to-the-second columns compress poorly and slow refresh. The calendar splitting dates into clean parts helps here.</w:t>
      </w:r>
    </w:p>
    <w:p>
      <w:pPr>
        <w:pStyle w:val="ListParagraph"/>
        <w:numPr>
          <w:ilvl w:val="0"/>
          <w:numId w:val="1"/>
        </w:numPr>
        <w:spacing w:after="80"/>
      </w:pPr>
      <w:r>
        <w:t xml:space="preserve">How much Power Query runs on the gateway versus folding to SQL. In this design the work is already done in SQL, so the gateway just moves pre-shaped rows, which is the fast case.</w:t>
      </w:r>
    </w:p>
    <w:p>
      <w:pPr>
        <w:pStyle w:val="ListParagraph"/>
        <w:numPr>
          <w:ilvl w:val="0"/>
          <w:numId w:val="1"/>
        </w:numPr>
        <w:spacing w:after="80"/>
      </w:pPr>
      <w:r>
        <w:t xml:space="preserve">Gateway VM memory and disk speed.</w:t>
      </w:r>
    </w:p>
    <w:p>
      <w:pPr>
        <w:spacing w:after="140"/>
      </w:pPr>
      <w:r>
        <w:t xml:space="preserve">Concrete framing for an estate of this size: a 9-million-row raw table imported whole and wide could take 15 to 35 minutes. The same data as the case-grain fact in this design, a few hundred thousand rows, is seconds to a couple of minutes. That difference is the entire reason for pushing the work into SQL and modelling at case grain.</w:t>
      </w:r>
    </w:p>
    <w:p>
      <w:pPr>
        <w:pStyle w:val="Heading2"/>
      </w:pPr>
      <w:r>
        <w:t xml:space="preserve">Incremental refresh makes the row count almost irrelevant</w:t>
      </w:r>
    </w:p>
    <w:p>
      <w:pPr>
        <w:spacing w:after="140"/>
      </w:pPr>
      <w:r>
        <w:t xml:space="preserve">Once the volume grows, turn on incremental refresh on the fact. It partitions the table by date so each refresh reloads only the recent partition, not all history. A large fact then refreshes in the time it takes to process the last few days, regardless of how many millions sit behind it. Incremental refresh needs a date column and a folding source query, both of which this design provides. This is the permanent answer to refresh time, and it is what removes the original multi-hour refresh problem for good.</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6"/>
        <w:szCs w:val="16"/>
      </w:rPr>
      <w:t xml:space="preserve">Blue Prism Automation Analytics — SQL &amp; Power BI Runbook   |   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0B1F3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2026-06-30T23:08:07.182Z</dcterms:created>
  <dcterms:modified xsi:type="dcterms:W3CDTF">2026-06-30T23:08:07.182Z</dcterms:modified>
</cp:coreProperties>
</file>

<file path=docProps/custom.xml><?xml version="1.0" encoding="utf-8"?>
<Properties xmlns="http://schemas.openxmlformats.org/officeDocument/2006/custom-properties" xmlns:vt="http://schemas.openxmlformats.org/officeDocument/2006/docPropsVTypes"/>
</file>