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Claire Verified Output Proof Phase Plan</w:t>
      </w:r>
    </w:p>
    <w:p>
      <w:pPr>
        <w:jc w:val="center"/>
      </w:pPr>
      <w:r>
        <w:rPr>
          <w:color w:val="595959"/>
          <w:sz w:val="24"/>
        </w:rPr>
        <w:t>Live Data Ingestion, Route Execution, and Industry-Standard Validation</w:t>
      </w:r>
    </w:p>
    <w:p>
      <w:pPr>
        <w:jc w:val="center"/>
      </w:pPr>
      <w:r>
        <w:rPr>
          <w:color w:val="595959"/>
          <w:sz w:val="19"/>
        </w:rPr>
        <w:t>Prepared for: Craig Morris / Claire Syntalion</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top"/>
            <w:shd w:fill="1F4E79"/>
          </w:tcPr>
          <w:p>
            <w:pPr>
              <w:spacing w:after="0" w:line="240" w:lineRule="auto"/>
            </w:pPr>
            <w:r/>
            <w:r>
              <w:rPr>
                <w:rFonts w:ascii="Aptos" w:hAnsi="Aptos"/>
                <w:b/>
                <w:color w:val="FFFFFF"/>
                <w:sz w:val="16"/>
              </w:rPr>
              <w:t>Current Platform Phase</w:t>
            </w:r>
          </w:p>
        </w:tc>
        <w:tc>
          <w:tcPr>
            <w:tcW w:type="dxa" w:w="5141"/>
            <w:vAlign w:val="top"/>
            <w:shd w:fill="EAF2F8"/>
          </w:tcPr>
          <w:p>
            <w:pPr>
              <w:spacing w:after="0" w:line="240" w:lineRule="auto"/>
            </w:pPr>
            <w:r/>
            <w:r>
              <w:rPr>
                <w:rFonts w:ascii="Aptos" w:hAnsi="Aptos"/>
                <w:b w:val="0"/>
                <w:sz w:val="16"/>
              </w:rPr>
              <w:t>Proof + Capital Preparation Phase</w:t>
            </w:r>
          </w:p>
        </w:tc>
      </w:tr>
      <w:tr>
        <w:trPr>
          <w:cantSplit/>
        </w:trPr>
        <w:tc>
          <w:tcPr>
            <w:tcW w:type="dxa" w:w="5141"/>
            <w:vAlign w:val="top"/>
            <w:shd w:fill="1F4E79"/>
          </w:tcPr>
          <w:p>
            <w:pPr>
              <w:spacing w:after="0" w:line="240" w:lineRule="auto"/>
            </w:pPr>
            <w:r/>
            <w:r>
              <w:rPr>
                <w:rFonts w:ascii="Aptos" w:hAnsi="Aptos"/>
                <w:b/>
                <w:color w:val="FFFFFF"/>
                <w:sz w:val="16"/>
              </w:rPr>
              <w:t>Core Condition</w:t>
            </w:r>
          </w:p>
        </w:tc>
        <w:tc>
          <w:tcPr>
            <w:tcW w:type="dxa" w:w="5141"/>
            <w:vAlign w:val="top"/>
            <w:shd w:fill="EAF2F8"/>
          </w:tcPr>
          <w:p>
            <w:pPr>
              <w:spacing w:after="0" w:line="240" w:lineRule="auto"/>
            </w:pPr>
            <w:r/>
            <w:r>
              <w:rPr>
                <w:rFonts w:ascii="Aptos" w:hAnsi="Aptos"/>
                <w:b w:val="0"/>
                <w:sz w:val="16"/>
              </w:rPr>
              <w:t>Folder resolved; locked build plan preserved; system proof now prioritized</w:t>
            </w:r>
          </w:p>
        </w:tc>
      </w:tr>
      <w:tr>
        <w:trPr>
          <w:cantSplit/>
        </w:trPr>
        <w:tc>
          <w:tcPr>
            <w:tcW w:type="dxa" w:w="5141"/>
            <w:vAlign w:val="top"/>
            <w:shd w:fill="1F4E79"/>
          </w:tcPr>
          <w:p>
            <w:pPr>
              <w:spacing w:after="0" w:line="240" w:lineRule="auto"/>
            </w:pPr>
            <w:r/>
            <w:r>
              <w:rPr>
                <w:rFonts w:ascii="Aptos" w:hAnsi="Aptos"/>
                <w:b/>
                <w:color w:val="FFFFFF"/>
                <w:sz w:val="16"/>
              </w:rPr>
              <w:t>Near-Term Objective</w:t>
            </w:r>
          </w:p>
        </w:tc>
        <w:tc>
          <w:tcPr>
            <w:tcW w:type="dxa" w:w="5141"/>
            <w:vAlign w:val="top"/>
            <w:shd w:fill="EAF2F8"/>
          </w:tcPr>
          <w:p>
            <w:pPr>
              <w:spacing w:after="0" w:line="240" w:lineRule="auto"/>
            </w:pPr>
            <w:r/>
            <w:r>
              <w:rPr>
                <w:rFonts w:ascii="Aptos" w:hAnsi="Aptos"/>
                <w:b w:val="0"/>
                <w:sz w:val="16"/>
              </w:rPr>
              <w:t>Live data ingestion feeding verified lifecycle outputs</w:t>
            </w:r>
          </w:p>
        </w:tc>
      </w:tr>
      <w:tr>
        <w:trPr>
          <w:cantSplit/>
        </w:trPr>
        <w:tc>
          <w:tcPr>
            <w:tcW w:type="dxa" w:w="5141"/>
            <w:vAlign w:val="top"/>
            <w:shd w:fill="1F4E79"/>
          </w:tcPr>
          <w:p>
            <w:pPr>
              <w:spacing w:after="0" w:line="240" w:lineRule="auto"/>
            </w:pPr>
            <w:r/>
            <w:r>
              <w:rPr>
                <w:rFonts w:ascii="Aptos" w:hAnsi="Aptos"/>
                <w:b/>
                <w:color w:val="FFFFFF"/>
                <w:sz w:val="16"/>
              </w:rPr>
              <w:t>Non-Drift Rule</w:t>
            </w:r>
          </w:p>
        </w:tc>
        <w:tc>
          <w:tcPr>
            <w:tcW w:type="dxa" w:w="5141"/>
            <w:vAlign w:val="top"/>
            <w:shd w:fill="EAF2F8"/>
          </w:tcPr>
          <w:p>
            <w:pPr>
              <w:spacing w:after="0" w:line="240" w:lineRule="auto"/>
            </w:pPr>
            <w:r/>
            <w:r>
              <w:rPr>
                <w:rFonts w:ascii="Aptos" w:hAnsi="Aptos"/>
                <w:b w:val="0"/>
                <w:sz w:val="16"/>
              </w:rPr>
              <w:t>No product pivot. No tool sprawl. Prove Claire outputs are real, valid, and defensible.</w:t>
            </w:r>
          </w:p>
        </w:tc>
      </w:tr>
    </w:tbl>
    <w:p>
      <w:pPr>
        <w:pStyle w:val="Heading1"/>
      </w:pPr>
      <w:r>
        <w:t>1. Purpose</w:t>
      </w:r>
    </w:p>
    <w:p>
      <w:r>
        <w:t>This plan defines the next proof phase for Claire without drifting into standalone products or feature sprawl. The objective is to prove that Claire can run its locked lifecycle on real-world data and produce outputs that withstand industry-standard verification.</w:t>
      </w:r>
    </w:p>
    <w:p>
      <w:r>
        <w:t>The proof phase has two required demonstrations:</w:t>
      </w:r>
    </w:p>
    <w:p>
      <w:pPr>
        <w:pStyle w:val="ListBullet"/>
      </w:pPr>
      <w:r>
        <w:t>A portfolio generated by Claire as a result of lifecycle execution, verified using standard financial analysis procedures.</w:t>
      </w:r>
    </w:p>
    <w:p>
      <w:pPr>
        <w:pStyle w:val="ListBullet"/>
      </w:pPr>
      <w:r>
        <w:t>A technology or design pathway generated by Claire as a result of lifecycle execution, verified using standard technical, market, feasibility, and buildability procedures.</w:t>
      </w:r>
    </w:p>
    <w:p>
      <w:pPr>
        <w:pStyle w:val="Heading1"/>
      </w:pPr>
      <w:r>
        <w:t>2. Correct System Framing</w:t>
      </w:r>
    </w:p>
    <w:p>
      <w:r>
        <w:t>Claire is not being repositioned as a portfolio tool or a design tool. These are proof cases, not product pivots.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top"/>
            <w:shd w:fill="1F4E79"/>
          </w:tcPr>
          <w:p>
            <w:pPr>
              <w:spacing w:after="0" w:line="240" w:lineRule="auto"/>
            </w:pPr>
            <w:r/>
            <w:r>
              <w:rPr>
                <w:rFonts w:ascii="Aptos" w:hAnsi="Aptos"/>
                <w:b/>
                <w:color w:val="FFFFFF"/>
                <w:sz w:val="16"/>
              </w:rPr>
              <w:t>Proof Case</w:t>
            </w:r>
          </w:p>
        </w:tc>
        <w:tc>
          <w:tcPr>
            <w:tcW w:type="dxa" w:w="3427"/>
            <w:vAlign w:val="top"/>
            <w:shd w:fill="1F4E79"/>
          </w:tcPr>
          <w:p>
            <w:pPr>
              <w:spacing w:after="0" w:line="240" w:lineRule="auto"/>
            </w:pPr>
            <w:r/>
            <w:r>
              <w:rPr>
                <w:rFonts w:ascii="Aptos" w:hAnsi="Aptos"/>
                <w:b/>
                <w:color w:val="FFFFFF"/>
                <w:sz w:val="16"/>
              </w:rPr>
              <w:t>Meaning</w:t>
            </w:r>
          </w:p>
        </w:tc>
        <w:tc>
          <w:tcPr>
            <w:tcW w:type="dxa" w:w="3427"/>
            <w:vAlign w:val="top"/>
            <w:shd w:fill="1F4E79"/>
          </w:tcPr>
          <w:p>
            <w:pPr>
              <w:spacing w:after="0" w:line="240" w:lineRule="auto"/>
            </w:pPr>
            <w:r/>
            <w:r>
              <w:rPr>
                <w:rFonts w:ascii="Aptos" w:hAnsi="Aptos"/>
                <w:b/>
                <w:color w:val="FFFFFF"/>
                <w:sz w:val="16"/>
              </w:rPr>
              <w:t>What It Proves</w:t>
            </w:r>
          </w:p>
        </w:tc>
      </w:tr>
      <w:tr>
        <w:trPr>
          <w:cantSplit/>
        </w:trPr>
        <w:tc>
          <w:tcPr>
            <w:tcW w:type="dxa" w:w="3427"/>
            <w:vAlign w:val="top"/>
            <w:shd w:fill="F7FBFE"/>
          </w:tcPr>
          <w:p>
            <w:pPr>
              <w:spacing w:after="0" w:line="240" w:lineRule="auto"/>
            </w:pPr>
            <w:r/>
            <w:r>
              <w:rPr>
                <w:rFonts w:ascii="Aptos" w:hAnsi="Aptos"/>
                <w:b w:val="0"/>
                <w:sz w:val="15"/>
              </w:rPr>
              <w:t>Portfolio Route Proof</w:t>
            </w:r>
          </w:p>
        </w:tc>
        <w:tc>
          <w:tcPr>
            <w:tcW w:type="dxa" w:w="3427"/>
            <w:vAlign w:val="top"/>
            <w:shd w:fill="F7FBFE"/>
          </w:tcPr>
          <w:p>
            <w:pPr>
              <w:spacing w:after="0" w:line="240" w:lineRule="auto"/>
            </w:pPr>
            <w:r/>
            <w:r>
              <w:rPr>
                <w:rFonts w:ascii="Aptos" w:hAnsi="Aptos"/>
                <w:b w:val="0"/>
                <w:sz w:val="15"/>
              </w:rPr>
              <w:t>Claire runs on live or current market data and produces a portfolio output.</w:t>
            </w:r>
          </w:p>
        </w:tc>
        <w:tc>
          <w:tcPr>
            <w:tcW w:type="dxa" w:w="3427"/>
            <w:vAlign w:val="top"/>
            <w:shd w:fill="F7FBFE"/>
          </w:tcPr>
          <w:p>
            <w:pPr>
              <w:spacing w:after="0" w:line="240" w:lineRule="auto"/>
            </w:pPr>
            <w:r/>
            <w:r>
              <w:rPr>
                <w:rFonts w:ascii="Aptos" w:hAnsi="Aptos"/>
                <w:b w:val="0"/>
                <w:sz w:val="15"/>
              </w:rPr>
              <w:t>The lifecycle can generate market-grounded, evidence-backed, mathematically valid portfolio intelligence.</w:t>
            </w:r>
          </w:p>
        </w:tc>
      </w:tr>
      <w:tr>
        <w:trPr>
          <w:cantSplit/>
        </w:trPr>
        <w:tc>
          <w:tcPr>
            <w:tcW w:type="dxa" w:w="3427"/>
            <w:vAlign w:val="top"/>
          </w:tcPr>
          <w:p>
            <w:pPr>
              <w:spacing w:after="0" w:line="240" w:lineRule="auto"/>
            </w:pPr>
            <w:r/>
            <w:r>
              <w:rPr>
                <w:rFonts w:ascii="Aptos" w:hAnsi="Aptos"/>
                <w:b w:val="0"/>
                <w:sz w:val="15"/>
              </w:rPr>
              <w:t>Technology / Design Route Proof</w:t>
            </w:r>
          </w:p>
        </w:tc>
        <w:tc>
          <w:tcPr>
            <w:tcW w:type="dxa" w:w="3427"/>
            <w:vAlign w:val="top"/>
          </w:tcPr>
          <w:p>
            <w:pPr>
              <w:spacing w:after="0" w:line="240" w:lineRule="auto"/>
            </w:pPr>
            <w:r/>
            <w:r>
              <w:rPr>
                <w:rFonts w:ascii="Aptos" w:hAnsi="Aptos"/>
                <w:b w:val="0"/>
                <w:sz w:val="15"/>
              </w:rPr>
              <w:t>Claire runs on real opportunity signals and produces a technology pathway or design package.</w:t>
            </w:r>
          </w:p>
        </w:tc>
        <w:tc>
          <w:tcPr>
            <w:tcW w:type="dxa" w:w="3427"/>
            <w:vAlign w:val="top"/>
          </w:tcPr>
          <w:p>
            <w:pPr>
              <w:spacing w:after="0" w:line="240" w:lineRule="auto"/>
            </w:pPr>
            <w:r/>
            <w:r>
              <w:rPr>
                <w:rFonts w:ascii="Aptos" w:hAnsi="Aptos"/>
                <w:b w:val="0"/>
                <w:sz w:val="15"/>
              </w:rPr>
              <w:t>The lifecycle can route breakthroughs correctly and generate feasible, evidence-backed design intelligence.</w:t>
            </w:r>
          </w:p>
        </w:tc>
      </w:tr>
    </w:tbl>
    <w:p/>
    <w:p>
      <w:pPr>
        <w:pStyle w:val="Heading1"/>
      </w:pPr>
      <w:r>
        <w:t>3. Proof Phase Name and Position</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top"/>
            <w:shd w:fill="1F4E79"/>
          </w:tcPr>
          <w:p>
            <w:pPr>
              <w:spacing w:after="0" w:line="240" w:lineRule="auto"/>
            </w:pPr>
            <w:r/>
            <w:r>
              <w:rPr>
                <w:rFonts w:ascii="Aptos" w:hAnsi="Aptos"/>
                <w:b/>
                <w:color w:val="FFFFFF"/>
                <w:sz w:val="16"/>
              </w:rPr>
              <w:t>Item</w:t>
            </w:r>
          </w:p>
        </w:tc>
        <w:tc>
          <w:tcPr>
            <w:tcW w:type="dxa" w:w="5141"/>
            <w:vAlign w:val="top"/>
            <w:shd w:fill="1F4E79"/>
          </w:tcPr>
          <w:p>
            <w:pPr>
              <w:spacing w:after="0" w:line="240" w:lineRule="auto"/>
            </w:pPr>
            <w:r/>
            <w:r>
              <w:rPr>
                <w:rFonts w:ascii="Aptos" w:hAnsi="Aptos"/>
                <w:b/>
                <w:color w:val="FFFFFF"/>
                <w:sz w:val="16"/>
              </w:rPr>
              <w:t>Definition</w:t>
            </w:r>
          </w:p>
        </w:tc>
      </w:tr>
      <w:tr>
        <w:trPr>
          <w:cantSplit/>
        </w:trPr>
        <w:tc>
          <w:tcPr>
            <w:tcW w:type="dxa" w:w="5141"/>
            <w:vAlign w:val="top"/>
            <w:shd w:fill="F7FBFE"/>
          </w:tcPr>
          <w:p>
            <w:pPr>
              <w:spacing w:after="0" w:line="240" w:lineRule="auto"/>
            </w:pPr>
            <w:r/>
            <w:r>
              <w:rPr>
                <w:rFonts w:ascii="Aptos" w:hAnsi="Aptos"/>
                <w:b w:val="0"/>
                <w:sz w:val="15"/>
              </w:rPr>
              <w:t>Phase Name</w:t>
            </w:r>
          </w:p>
        </w:tc>
        <w:tc>
          <w:tcPr>
            <w:tcW w:type="dxa" w:w="5141"/>
            <w:vAlign w:val="top"/>
            <w:shd w:fill="F7FBFE"/>
          </w:tcPr>
          <w:p>
            <w:pPr>
              <w:spacing w:after="0" w:line="240" w:lineRule="auto"/>
            </w:pPr>
            <w:r/>
            <w:r>
              <w:rPr>
                <w:rFonts w:ascii="Aptos" w:hAnsi="Aptos"/>
                <w:b w:val="0"/>
                <w:sz w:val="15"/>
              </w:rPr>
              <w:t>Verified Output Proof Phase</w:t>
            </w:r>
          </w:p>
        </w:tc>
      </w:tr>
      <w:tr>
        <w:trPr>
          <w:cantSplit/>
        </w:trPr>
        <w:tc>
          <w:tcPr>
            <w:tcW w:type="dxa" w:w="5141"/>
            <w:vAlign w:val="top"/>
          </w:tcPr>
          <w:p>
            <w:pPr>
              <w:spacing w:after="0" w:line="240" w:lineRule="auto"/>
            </w:pPr>
            <w:r/>
            <w:r>
              <w:rPr>
                <w:rFonts w:ascii="Aptos" w:hAnsi="Aptos"/>
                <w:b w:val="0"/>
                <w:sz w:val="15"/>
              </w:rPr>
              <w:t>Current Position</w:t>
            </w:r>
          </w:p>
        </w:tc>
        <w:tc>
          <w:tcPr>
            <w:tcW w:type="dxa" w:w="5141"/>
            <w:vAlign w:val="top"/>
          </w:tcPr>
          <w:p>
            <w:pPr>
              <w:spacing w:after="0" w:line="240" w:lineRule="auto"/>
            </w:pPr>
            <w:r/>
            <w:r>
              <w:rPr>
                <w:rFonts w:ascii="Aptos" w:hAnsi="Aptos"/>
                <w:b w:val="0"/>
                <w:sz w:val="15"/>
              </w:rPr>
              <w:t>After architecture and folder recovery; before serious capital raise.</w:t>
            </w:r>
          </w:p>
        </w:tc>
      </w:tr>
      <w:tr>
        <w:trPr>
          <w:cantSplit/>
        </w:trPr>
        <w:tc>
          <w:tcPr>
            <w:tcW w:type="dxa" w:w="5141"/>
            <w:vAlign w:val="top"/>
            <w:shd w:fill="F7FBFE"/>
          </w:tcPr>
          <w:p>
            <w:pPr>
              <w:spacing w:after="0" w:line="240" w:lineRule="auto"/>
            </w:pPr>
            <w:r/>
            <w:r>
              <w:rPr>
                <w:rFonts w:ascii="Aptos" w:hAnsi="Aptos"/>
                <w:b w:val="0"/>
                <w:sz w:val="15"/>
              </w:rPr>
              <w:t>Primary Goal</w:t>
            </w:r>
          </w:p>
        </w:tc>
        <w:tc>
          <w:tcPr>
            <w:tcW w:type="dxa" w:w="5141"/>
            <w:vAlign w:val="top"/>
            <w:shd w:fill="F7FBFE"/>
          </w:tcPr>
          <w:p>
            <w:pPr>
              <w:spacing w:after="0" w:line="240" w:lineRule="auto"/>
            </w:pPr>
            <w:r/>
            <w:r>
              <w:rPr>
                <w:rFonts w:ascii="Aptos" w:hAnsi="Aptos"/>
                <w:b w:val="0"/>
                <w:sz w:val="15"/>
              </w:rPr>
              <w:t>Generate verified lifecycle outputs that prove Claire works on real data.</w:t>
            </w:r>
          </w:p>
        </w:tc>
      </w:tr>
      <w:tr>
        <w:trPr>
          <w:cantSplit/>
        </w:trPr>
        <w:tc>
          <w:tcPr>
            <w:tcW w:type="dxa" w:w="5141"/>
            <w:vAlign w:val="top"/>
          </w:tcPr>
          <w:p>
            <w:pPr>
              <w:spacing w:after="0" w:line="240" w:lineRule="auto"/>
            </w:pPr>
            <w:r/>
            <w:r>
              <w:rPr>
                <w:rFonts w:ascii="Aptos" w:hAnsi="Aptos"/>
                <w:b w:val="0"/>
                <w:sz w:val="15"/>
              </w:rPr>
              <w:t>Capital Relevance</w:t>
            </w:r>
          </w:p>
        </w:tc>
        <w:tc>
          <w:tcPr>
            <w:tcW w:type="dxa" w:w="5141"/>
            <w:vAlign w:val="top"/>
          </w:tcPr>
          <w:p>
            <w:pPr>
              <w:spacing w:after="0" w:line="240" w:lineRule="auto"/>
            </w:pPr>
            <w:r/>
            <w:r>
              <w:rPr>
                <w:rFonts w:ascii="Aptos" w:hAnsi="Aptos"/>
                <w:b w:val="0"/>
                <w:sz w:val="15"/>
              </w:rPr>
              <w:t>Creates proof binder evidence for investors, strategic advisors, pilots, and IP counsel.</w:t>
            </w:r>
          </w:p>
        </w:tc>
      </w:tr>
    </w:tbl>
    <w:p/>
    <w:p>
      <w:r>
        <w:br w:type="page"/>
      </w:r>
    </w:p>
    <w:p>
      <w:pPr>
        <w:pStyle w:val="Heading1"/>
      </w:pPr>
      <w:r>
        <w:t>4. Proof Case A - Verified Portfolio Output</w:t>
      </w:r>
    </w:p>
    <w:p>
      <w:pPr>
        <w:pStyle w:val="Heading2"/>
      </w:pPr>
      <w:r>
        <w:t>4.1 Objective</w:t>
      </w:r>
    </w:p>
    <w:p>
      <w:r>
        <w:t>Claire must produce a portfolio from real or current data through its lifecycle. That portfolio must then be verified using industry-standard techniques and procedures. The final result must check out mathematically, market-wise, and evidentially.</w:t>
      </w:r>
    </w:p>
    <w:p>
      <w:pPr>
        <w:pStyle w:val="Heading2"/>
      </w:pPr>
      <w:r>
        <w:t>4.2 Required Input Types</w:t>
      </w:r>
    </w:p>
    <w:p>
      <w:pPr>
        <w:pStyle w:val="ListBullet"/>
      </w:pPr>
      <w:r>
        <w:t>Live or current market data, including prices, volumes, market capitalizations, sectors, industries, and relevant benchmark data.</w:t>
      </w:r>
    </w:p>
    <w:p>
      <w:pPr>
        <w:pStyle w:val="ListBullet"/>
      </w:pPr>
      <w:r>
        <w:t>Optional user portfolio upload for comparison or optimization.</w:t>
      </w:r>
    </w:p>
    <w:p>
      <w:pPr>
        <w:pStyle w:val="ListBullet"/>
      </w:pPr>
      <w:r>
        <w:t>Market signal inputs, including news, filings, macro indicators, sector momentum, or other governed sources.</w:t>
      </w:r>
    </w:p>
    <w:p>
      <w:pPr>
        <w:pStyle w:val="ListBullet"/>
      </w:pPr>
      <w:r>
        <w:t>Source metadata, timestamp, credibility score, and retrieval method for every data source used.</w:t>
      </w:r>
    </w:p>
    <w:p>
      <w:pPr>
        <w:pStyle w:val="Heading2"/>
      </w:pPr>
      <w:r>
        <w:t>4.3 Lifecycle Execution Path</w:t>
      </w:r>
    </w:p>
    <w:p>
      <w:r>
        <w:t>The portfolio proof should follow Claire’s existing lifecycle and route rules:</w:t>
      </w:r>
    </w:p>
    <w:p>
      <w:pPr>
        <w:pStyle w:val="ListNumber"/>
      </w:pPr>
      <w:r>
        <w:t>Signal Ingestion</w:t>
      </w:r>
    </w:p>
    <w:p>
      <w:pPr>
        <w:pStyle w:val="ListNumber"/>
      </w:pPr>
      <w:r>
        <w:t>Signal Normalization</w:t>
      </w:r>
    </w:p>
    <w:p>
      <w:pPr>
        <w:pStyle w:val="ListNumber"/>
      </w:pPr>
      <w:r>
        <w:t>Source Validation &amp; Weighting</w:t>
      </w:r>
    </w:p>
    <w:p>
      <w:pPr>
        <w:pStyle w:val="ListNumber"/>
      </w:pPr>
      <w:r>
        <w:t>Context Expansion</w:t>
      </w:r>
    </w:p>
    <w:p>
      <w:pPr>
        <w:pStyle w:val="ListNumber"/>
      </w:pPr>
      <w:r>
        <w:t>Signal Consolidation</w:t>
      </w:r>
    </w:p>
    <w:p>
      <w:pPr>
        <w:pStyle w:val="ListNumber"/>
      </w:pPr>
      <w:r>
        <w:t>Entity Extraction</w:t>
      </w:r>
    </w:p>
    <w:p>
      <w:pPr>
        <w:pStyle w:val="ListNumber"/>
      </w:pPr>
      <w:r>
        <w:t>Relationship Mapping</w:t>
      </w:r>
    </w:p>
    <w:p>
      <w:pPr>
        <w:pStyle w:val="ListNumber"/>
      </w:pPr>
      <w:r>
        <w:t>Trend Discovery</w:t>
      </w:r>
    </w:p>
    <w:p>
      <w:pPr>
        <w:pStyle w:val="ListNumber"/>
      </w:pPr>
      <w:r>
        <w:t>Cluster Formation</w:t>
      </w:r>
    </w:p>
    <w:p>
      <w:pPr>
        <w:pStyle w:val="ListNumber"/>
      </w:pPr>
      <w:r>
        <w:t>Insight / Thesis Structuring</w:t>
      </w:r>
    </w:p>
    <w:p>
      <w:pPr>
        <w:pStyle w:val="ListNumber"/>
      </w:pPr>
      <w:r>
        <w:t>Market Positioning</w:t>
      </w:r>
    </w:p>
    <w:p>
      <w:pPr>
        <w:pStyle w:val="ListNumber"/>
      </w:pPr>
      <w:r>
        <w:t>Competitor Analysis</w:t>
      </w:r>
    </w:p>
    <w:p>
      <w:pPr>
        <w:pStyle w:val="ListNumber"/>
      </w:pPr>
      <w:r>
        <w:t>Portfolio Creation / Optimization</w:t>
      </w:r>
    </w:p>
    <w:p>
      <w:pPr>
        <w:pStyle w:val="Heading2"/>
      </w:pPr>
      <w:r>
        <w:t>4.4 Industry-Standard Verification Checklist</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top"/>
            <w:shd w:fill="1F4E79"/>
          </w:tcPr>
          <w:p>
            <w:pPr>
              <w:spacing w:after="0" w:line="240" w:lineRule="auto"/>
            </w:pPr>
            <w:r/>
            <w:r>
              <w:rPr>
                <w:rFonts w:ascii="Aptos" w:hAnsi="Aptos"/>
                <w:b/>
                <w:color w:val="FFFFFF"/>
                <w:sz w:val="16"/>
              </w:rPr>
              <w:t>Verification Area</w:t>
            </w:r>
          </w:p>
        </w:tc>
        <w:tc>
          <w:tcPr>
            <w:tcW w:type="dxa" w:w="3427"/>
            <w:vAlign w:val="top"/>
            <w:shd w:fill="1F4E79"/>
          </w:tcPr>
          <w:p>
            <w:pPr>
              <w:spacing w:after="0" w:line="240" w:lineRule="auto"/>
            </w:pPr>
            <w:r/>
            <w:r>
              <w:rPr>
                <w:rFonts w:ascii="Aptos" w:hAnsi="Aptos"/>
                <w:b/>
                <w:color w:val="FFFFFF"/>
                <w:sz w:val="16"/>
              </w:rPr>
              <w:t>Required Checks</w:t>
            </w:r>
          </w:p>
        </w:tc>
        <w:tc>
          <w:tcPr>
            <w:tcW w:type="dxa" w:w="3427"/>
            <w:vAlign w:val="top"/>
            <w:shd w:fill="1F4E79"/>
          </w:tcPr>
          <w:p>
            <w:pPr>
              <w:spacing w:after="0" w:line="240" w:lineRule="auto"/>
            </w:pPr>
            <w:r/>
            <w:r>
              <w:rPr>
                <w:rFonts w:ascii="Aptos" w:hAnsi="Aptos"/>
                <w:b/>
                <w:color w:val="FFFFFF"/>
                <w:sz w:val="16"/>
              </w:rPr>
              <w:t>Pass Condition</w:t>
            </w:r>
          </w:p>
        </w:tc>
      </w:tr>
      <w:tr>
        <w:trPr>
          <w:cantSplit/>
        </w:trPr>
        <w:tc>
          <w:tcPr>
            <w:tcW w:type="dxa" w:w="3427"/>
            <w:vAlign w:val="top"/>
            <w:shd w:fill="F7FBFE"/>
          </w:tcPr>
          <w:p>
            <w:pPr>
              <w:spacing w:after="0" w:line="240" w:lineRule="auto"/>
            </w:pPr>
            <w:r/>
            <w:r>
              <w:rPr>
                <w:rFonts w:ascii="Aptos" w:hAnsi="Aptos"/>
                <w:b w:val="0"/>
                <w:sz w:val="15"/>
              </w:rPr>
              <w:t>Market Data Accuracy</w:t>
            </w:r>
          </w:p>
        </w:tc>
        <w:tc>
          <w:tcPr>
            <w:tcW w:type="dxa" w:w="3427"/>
            <w:vAlign w:val="top"/>
            <w:shd w:fill="F7FBFE"/>
          </w:tcPr>
          <w:p>
            <w:pPr>
              <w:spacing w:after="0" w:line="240" w:lineRule="auto"/>
            </w:pPr>
            <w:r/>
            <w:r>
              <w:rPr>
                <w:rFonts w:ascii="Aptos" w:hAnsi="Aptos"/>
                <w:b w:val="0"/>
                <w:sz w:val="15"/>
              </w:rPr>
              <w:t>Current prices, market cap, volume, sector, industry, benchmark values, timestamped source records.</w:t>
            </w:r>
          </w:p>
        </w:tc>
        <w:tc>
          <w:tcPr>
            <w:tcW w:type="dxa" w:w="3427"/>
            <w:vAlign w:val="top"/>
            <w:shd w:fill="F7FBFE"/>
          </w:tcPr>
          <w:p>
            <w:pPr>
              <w:spacing w:after="0" w:line="240" w:lineRule="auto"/>
            </w:pPr>
            <w:r/>
            <w:r>
              <w:rPr>
                <w:rFonts w:ascii="Aptos" w:hAnsi="Aptos"/>
                <w:b w:val="0"/>
                <w:sz w:val="15"/>
              </w:rPr>
              <w:t>All data can be traced to authoritative or credible market sources.</w:t>
            </w:r>
          </w:p>
        </w:tc>
      </w:tr>
      <w:tr>
        <w:trPr>
          <w:cantSplit/>
        </w:trPr>
        <w:tc>
          <w:tcPr>
            <w:tcW w:type="dxa" w:w="3427"/>
            <w:vAlign w:val="top"/>
          </w:tcPr>
          <w:p>
            <w:pPr>
              <w:spacing w:after="0" w:line="240" w:lineRule="auto"/>
            </w:pPr>
            <w:r/>
            <w:r>
              <w:rPr>
                <w:rFonts w:ascii="Aptos" w:hAnsi="Aptos"/>
                <w:b w:val="0"/>
                <w:sz w:val="15"/>
              </w:rPr>
              <w:t>Portfolio Math</w:t>
            </w:r>
          </w:p>
        </w:tc>
        <w:tc>
          <w:tcPr>
            <w:tcW w:type="dxa" w:w="3427"/>
            <w:vAlign w:val="top"/>
          </w:tcPr>
          <w:p>
            <w:pPr>
              <w:spacing w:after="0" w:line="240" w:lineRule="auto"/>
            </w:pPr>
            <w:r/>
            <w:r>
              <w:rPr>
                <w:rFonts w:ascii="Aptos" w:hAnsi="Aptos"/>
                <w:b w:val="0"/>
                <w:sz w:val="15"/>
              </w:rPr>
              <w:t>Weights sum correctly, allocation math is correct, exposure calculations are internally consistent.</w:t>
            </w:r>
          </w:p>
        </w:tc>
        <w:tc>
          <w:tcPr>
            <w:tcW w:type="dxa" w:w="3427"/>
            <w:vAlign w:val="top"/>
          </w:tcPr>
          <w:p>
            <w:pPr>
              <w:spacing w:after="0" w:line="240" w:lineRule="auto"/>
            </w:pPr>
            <w:r/>
            <w:r>
              <w:rPr>
                <w:rFonts w:ascii="Aptos" w:hAnsi="Aptos"/>
                <w:b w:val="0"/>
                <w:sz w:val="15"/>
              </w:rPr>
              <w:t>No arithmetic inconsistencies or unexplained allocation gaps.</w:t>
            </w:r>
          </w:p>
        </w:tc>
      </w:tr>
      <w:tr>
        <w:trPr>
          <w:cantSplit/>
        </w:trPr>
        <w:tc>
          <w:tcPr>
            <w:tcW w:type="dxa" w:w="3427"/>
            <w:vAlign w:val="top"/>
            <w:shd w:fill="F7FBFE"/>
          </w:tcPr>
          <w:p>
            <w:pPr>
              <w:spacing w:after="0" w:line="240" w:lineRule="auto"/>
            </w:pPr>
            <w:r/>
            <w:r>
              <w:rPr>
                <w:rFonts w:ascii="Aptos" w:hAnsi="Aptos"/>
                <w:b w:val="0"/>
                <w:sz w:val="15"/>
              </w:rPr>
              <w:t>Valuation Grounding</w:t>
            </w:r>
          </w:p>
        </w:tc>
        <w:tc>
          <w:tcPr>
            <w:tcW w:type="dxa" w:w="3427"/>
            <w:vAlign w:val="top"/>
            <w:shd w:fill="F7FBFE"/>
          </w:tcPr>
          <w:p>
            <w:pPr>
              <w:spacing w:after="0" w:line="240" w:lineRule="auto"/>
            </w:pPr>
            <w:r/>
            <w:r>
              <w:rPr>
                <w:rFonts w:ascii="Aptos" w:hAnsi="Aptos"/>
                <w:b w:val="0"/>
                <w:sz w:val="15"/>
              </w:rPr>
              <w:t>Relevant valuation metrics such as P/E, EV/EBITDA, P/S, yield, growth, or other asset-appropriate measures.</w:t>
            </w:r>
          </w:p>
        </w:tc>
        <w:tc>
          <w:tcPr>
            <w:tcW w:type="dxa" w:w="3427"/>
            <w:vAlign w:val="top"/>
            <w:shd w:fill="F7FBFE"/>
          </w:tcPr>
          <w:p>
            <w:pPr>
              <w:spacing w:after="0" w:line="240" w:lineRule="auto"/>
            </w:pPr>
            <w:r/>
            <w:r>
              <w:rPr>
                <w:rFonts w:ascii="Aptos" w:hAnsi="Aptos"/>
                <w:b w:val="0"/>
                <w:sz w:val="15"/>
              </w:rPr>
              <w:t>Metrics are sourced, timestamped, and appropriate for the asset type.</w:t>
            </w:r>
          </w:p>
        </w:tc>
      </w:tr>
      <w:tr>
        <w:trPr>
          <w:cantSplit/>
        </w:trPr>
        <w:tc>
          <w:tcPr>
            <w:tcW w:type="dxa" w:w="3427"/>
            <w:vAlign w:val="top"/>
          </w:tcPr>
          <w:p>
            <w:pPr>
              <w:spacing w:after="0" w:line="240" w:lineRule="auto"/>
            </w:pPr>
            <w:r/>
            <w:r>
              <w:rPr>
                <w:rFonts w:ascii="Aptos" w:hAnsi="Aptos"/>
                <w:b w:val="0"/>
                <w:sz w:val="15"/>
              </w:rPr>
              <w:t>Risk Analysis</w:t>
            </w:r>
          </w:p>
        </w:tc>
        <w:tc>
          <w:tcPr>
            <w:tcW w:type="dxa" w:w="3427"/>
            <w:vAlign w:val="top"/>
          </w:tcPr>
          <w:p>
            <w:pPr>
              <w:spacing w:after="0" w:line="240" w:lineRule="auto"/>
            </w:pPr>
            <w:r/>
            <w:r>
              <w:rPr>
                <w:rFonts w:ascii="Aptos" w:hAnsi="Aptos"/>
                <w:b w:val="0"/>
                <w:sz w:val="15"/>
              </w:rPr>
              <w:t>Concentration risk, sector exposure, volatility, drawdown, liquidity, correlation, beta where available.</w:t>
            </w:r>
          </w:p>
        </w:tc>
        <w:tc>
          <w:tcPr>
            <w:tcW w:type="dxa" w:w="3427"/>
            <w:vAlign w:val="top"/>
          </w:tcPr>
          <w:p>
            <w:pPr>
              <w:spacing w:after="0" w:line="240" w:lineRule="auto"/>
            </w:pPr>
            <w:r/>
            <w:r>
              <w:rPr>
                <w:rFonts w:ascii="Aptos" w:hAnsi="Aptos"/>
                <w:b w:val="0"/>
                <w:sz w:val="15"/>
              </w:rPr>
              <w:t>Risk profile is transparent and not hidden behind generic recommendations.</w:t>
            </w:r>
          </w:p>
        </w:tc>
      </w:tr>
      <w:tr>
        <w:trPr>
          <w:cantSplit/>
        </w:trPr>
        <w:tc>
          <w:tcPr>
            <w:tcW w:type="dxa" w:w="3427"/>
            <w:vAlign w:val="top"/>
            <w:shd w:fill="F7FBFE"/>
          </w:tcPr>
          <w:p>
            <w:pPr>
              <w:spacing w:after="0" w:line="240" w:lineRule="auto"/>
            </w:pPr>
            <w:r/>
            <w:r>
              <w:rPr>
                <w:rFonts w:ascii="Aptos" w:hAnsi="Aptos"/>
                <w:b w:val="0"/>
                <w:sz w:val="15"/>
              </w:rPr>
              <w:t>Benchmark Comparison</w:t>
            </w:r>
          </w:p>
        </w:tc>
        <w:tc>
          <w:tcPr>
            <w:tcW w:type="dxa" w:w="3427"/>
            <w:vAlign w:val="top"/>
            <w:shd w:fill="F7FBFE"/>
          </w:tcPr>
          <w:p>
            <w:pPr>
              <w:spacing w:after="0" w:line="240" w:lineRule="auto"/>
            </w:pPr>
            <w:r/>
            <w:r>
              <w:rPr>
                <w:rFonts w:ascii="Aptos" w:hAnsi="Aptos"/>
                <w:b w:val="0"/>
                <w:sz w:val="15"/>
              </w:rPr>
              <w:t>Compare against relevant benchmark, index, sector ETF, or defined market proxy.</w:t>
            </w:r>
          </w:p>
        </w:tc>
        <w:tc>
          <w:tcPr>
            <w:tcW w:type="dxa" w:w="3427"/>
            <w:vAlign w:val="top"/>
            <w:shd w:fill="F7FBFE"/>
          </w:tcPr>
          <w:p>
            <w:pPr>
              <w:spacing w:after="0" w:line="240" w:lineRule="auto"/>
            </w:pPr>
            <w:r/>
            <w:r>
              <w:rPr>
                <w:rFonts w:ascii="Aptos" w:hAnsi="Aptos"/>
                <w:b w:val="0"/>
                <w:sz w:val="15"/>
              </w:rPr>
              <w:t>Output explains outperformance/underperformance assumptions and limitations.</w:t>
            </w:r>
          </w:p>
        </w:tc>
      </w:tr>
      <w:tr>
        <w:trPr>
          <w:cantSplit/>
        </w:trPr>
        <w:tc>
          <w:tcPr>
            <w:tcW w:type="dxa" w:w="3427"/>
            <w:vAlign w:val="top"/>
          </w:tcPr>
          <w:p>
            <w:pPr>
              <w:spacing w:after="0" w:line="240" w:lineRule="auto"/>
            </w:pPr>
            <w:r/>
            <w:r>
              <w:rPr>
                <w:rFonts w:ascii="Aptos" w:hAnsi="Aptos"/>
                <w:b w:val="0"/>
                <w:sz w:val="15"/>
              </w:rPr>
              <w:t>Thesis Evidence</w:t>
            </w:r>
          </w:p>
        </w:tc>
        <w:tc>
          <w:tcPr>
            <w:tcW w:type="dxa" w:w="3427"/>
            <w:vAlign w:val="top"/>
          </w:tcPr>
          <w:p>
            <w:pPr>
              <w:spacing w:after="0" w:line="240" w:lineRule="auto"/>
            </w:pPr>
            <w:r/>
            <w:r>
              <w:rPr>
                <w:rFonts w:ascii="Aptos" w:hAnsi="Aptos"/>
                <w:b w:val="0"/>
                <w:sz w:val="15"/>
              </w:rPr>
              <w:t>Trend thesis, signal basis, and portfolio rationale tied to evidence basket.</w:t>
            </w:r>
          </w:p>
        </w:tc>
        <w:tc>
          <w:tcPr>
            <w:tcW w:type="dxa" w:w="3427"/>
            <w:vAlign w:val="top"/>
          </w:tcPr>
          <w:p>
            <w:pPr>
              <w:spacing w:after="0" w:line="240" w:lineRule="auto"/>
            </w:pPr>
            <w:r/>
            <w:r>
              <w:rPr>
                <w:rFonts w:ascii="Aptos" w:hAnsi="Aptos"/>
                <w:b w:val="0"/>
                <w:sz w:val="15"/>
              </w:rPr>
              <w:t>Each recommendation can be traced back to signals and evidence.</w:t>
            </w:r>
          </w:p>
        </w:tc>
      </w:tr>
      <w:tr>
        <w:trPr>
          <w:cantSplit/>
        </w:trPr>
        <w:tc>
          <w:tcPr>
            <w:tcW w:type="dxa" w:w="3427"/>
            <w:vAlign w:val="top"/>
            <w:shd w:fill="F7FBFE"/>
          </w:tcPr>
          <w:p>
            <w:pPr>
              <w:spacing w:after="0" w:line="240" w:lineRule="auto"/>
            </w:pPr>
            <w:r/>
            <w:r>
              <w:rPr>
                <w:rFonts w:ascii="Aptos" w:hAnsi="Aptos"/>
                <w:b w:val="0"/>
                <w:sz w:val="15"/>
              </w:rPr>
              <w:t>Actionability</w:t>
            </w:r>
          </w:p>
        </w:tc>
        <w:tc>
          <w:tcPr>
            <w:tcW w:type="dxa" w:w="3427"/>
            <w:vAlign w:val="top"/>
            <w:shd w:fill="F7FBFE"/>
          </w:tcPr>
          <w:p>
            <w:pPr>
              <w:spacing w:after="0" w:line="240" w:lineRule="auto"/>
            </w:pPr>
            <w:r/>
            <w:r>
              <w:rPr>
                <w:rFonts w:ascii="Aptos" w:hAnsi="Aptos"/>
                <w:b w:val="0"/>
                <w:sz w:val="15"/>
              </w:rPr>
              <w:t>Recommendations distinguish hold, reduce, rebalance, add, watch, or insufficient-data status.</w:t>
            </w:r>
          </w:p>
        </w:tc>
        <w:tc>
          <w:tcPr>
            <w:tcW w:type="dxa" w:w="3427"/>
            <w:vAlign w:val="top"/>
            <w:shd w:fill="F7FBFE"/>
          </w:tcPr>
          <w:p>
            <w:pPr>
              <w:spacing w:after="0" w:line="240" w:lineRule="auto"/>
            </w:pPr>
            <w:r/>
            <w:r>
              <w:rPr>
                <w:rFonts w:ascii="Aptos" w:hAnsi="Aptos"/>
                <w:b w:val="0"/>
                <w:sz w:val="15"/>
              </w:rPr>
              <w:t>No unsupported investment claims; every action has evidence and risk notes.</w:t>
            </w:r>
          </w:p>
        </w:tc>
      </w:tr>
    </w:tbl>
    <w:p/>
    <w:p>
      <w:pPr>
        <w:pStyle w:val="Heading2"/>
      </w:pPr>
      <w:r>
        <w:t>4.5 Required Portfolio Proof Outputs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top"/>
            <w:shd w:fill="1F4E79"/>
          </w:tcPr>
          <w:p>
            <w:pPr>
              <w:spacing w:after="0" w:line="240" w:lineRule="auto"/>
            </w:pPr>
            <w:r/>
            <w:r>
              <w:rPr>
                <w:rFonts w:ascii="Aptos" w:hAnsi="Aptos"/>
                <w:b/>
                <w:color w:val="FFFFFF"/>
                <w:sz w:val="16"/>
              </w:rPr>
              <w:t>Artifact</w:t>
            </w:r>
          </w:p>
        </w:tc>
        <w:tc>
          <w:tcPr>
            <w:tcW w:type="dxa" w:w="5141"/>
            <w:vAlign w:val="top"/>
            <w:shd w:fill="1F4E79"/>
          </w:tcPr>
          <w:p>
            <w:pPr>
              <w:spacing w:after="0" w:line="240" w:lineRule="auto"/>
            </w:pPr>
            <w:r/>
            <w:r>
              <w:rPr>
                <w:rFonts w:ascii="Aptos" w:hAnsi="Aptos"/>
                <w:b/>
                <w:color w:val="FFFFFF"/>
                <w:sz w:val="16"/>
              </w:rPr>
              <w:t>Purpose</w:t>
            </w:r>
          </w:p>
        </w:tc>
      </w:tr>
      <w:tr>
        <w:trPr>
          <w:cantSplit/>
        </w:trPr>
        <w:tc>
          <w:tcPr>
            <w:tcW w:type="dxa" w:w="5141"/>
            <w:vAlign w:val="top"/>
            <w:shd w:fill="F7FBFE"/>
          </w:tcPr>
          <w:p>
            <w:pPr>
              <w:spacing w:after="0" w:line="240" w:lineRule="auto"/>
            </w:pPr>
            <w:r/>
            <w:r>
              <w:rPr>
                <w:rFonts w:ascii="Aptos" w:hAnsi="Aptos"/>
                <w:b w:val="0"/>
                <w:sz w:val="15"/>
              </w:rPr>
              <w:t>portfolio_output.json</w:t>
            </w:r>
          </w:p>
        </w:tc>
        <w:tc>
          <w:tcPr>
            <w:tcW w:type="dxa" w:w="5141"/>
            <w:vAlign w:val="top"/>
            <w:shd w:fill="F7FBFE"/>
          </w:tcPr>
          <w:p>
            <w:pPr>
              <w:spacing w:after="0" w:line="240" w:lineRule="auto"/>
            </w:pPr>
            <w:r/>
            <w:r>
              <w:rPr>
                <w:rFonts w:ascii="Aptos" w:hAnsi="Aptos"/>
                <w:b w:val="0"/>
                <w:sz w:val="15"/>
              </w:rPr>
              <w:t>Machine-readable lifecycle output containing holdings, weights, signals, route, confidence, and evidence references.</w:t>
            </w:r>
          </w:p>
        </w:tc>
      </w:tr>
      <w:tr>
        <w:trPr>
          <w:cantSplit/>
        </w:trPr>
        <w:tc>
          <w:tcPr>
            <w:tcW w:type="dxa" w:w="5141"/>
            <w:vAlign w:val="top"/>
          </w:tcPr>
          <w:p>
            <w:pPr>
              <w:spacing w:after="0" w:line="240" w:lineRule="auto"/>
            </w:pPr>
            <w:r/>
            <w:r>
              <w:rPr>
                <w:rFonts w:ascii="Aptos" w:hAnsi="Aptos"/>
                <w:b w:val="0"/>
                <w:sz w:val="15"/>
              </w:rPr>
              <w:t>portfolio_analysis.md or .pdf</w:t>
            </w:r>
          </w:p>
        </w:tc>
        <w:tc>
          <w:tcPr>
            <w:tcW w:type="dxa" w:w="5141"/>
            <w:vAlign w:val="top"/>
          </w:tcPr>
          <w:p>
            <w:pPr>
              <w:spacing w:after="0" w:line="240" w:lineRule="auto"/>
            </w:pPr>
            <w:r/>
            <w:r>
              <w:rPr>
                <w:rFonts w:ascii="Aptos" w:hAnsi="Aptos"/>
                <w:b w:val="0"/>
                <w:sz w:val="15"/>
              </w:rPr>
              <w:t>Human-readable portfolio analysis and thesis explanation.</w:t>
            </w:r>
          </w:p>
        </w:tc>
      </w:tr>
      <w:tr>
        <w:trPr>
          <w:cantSplit/>
        </w:trPr>
        <w:tc>
          <w:tcPr>
            <w:tcW w:type="dxa" w:w="5141"/>
            <w:vAlign w:val="top"/>
            <w:shd w:fill="F7FBFE"/>
          </w:tcPr>
          <w:p>
            <w:pPr>
              <w:spacing w:after="0" w:line="240" w:lineRule="auto"/>
            </w:pPr>
            <w:r/>
            <w:r>
              <w:rPr>
                <w:rFonts w:ascii="Aptos" w:hAnsi="Aptos"/>
                <w:b w:val="0"/>
                <w:sz w:val="15"/>
              </w:rPr>
              <w:t>portfolio_validation_report.md</w:t>
            </w:r>
          </w:p>
        </w:tc>
        <w:tc>
          <w:tcPr>
            <w:tcW w:type="dxa" w:w="5141"/>
            <w:vAlign w:val="top"/>
            <w:shd w:fill="F7FBFE"/>
          </w:tcPr>
          <w:p>
            <w:pPr>
              <w:spacing w:after="0" w:line="240" w:lineRule="auto"/>
            </w:pPr>
            <w:r/>
            <w:r>
              <w:rPr>
                <w:rFonts w:ascii="Aptos" w:hAnsi="Aptos"/>
                <w:b w:val="0"/>
                <w:sz w:val="15"/>
              </w:rPr>
              <w:t>Verification report showing math checks, data checks, risk checks, and benchmark checks.</w:t>
            </w:r>
          </w:p>
        </w:tc>
      </w:tr>
      <w:tr>
        <w:trPr>
          <w:cantSplit/>
        </w:trPr>
        <w:tc>
          <w:tcPr>
            <w:tcW w:type="dxa" w:w="5141"/>
            <w:vAlign w:val="top"/>
          </w:tcPr>
          <w:p>
            <w:pPr>
              <w:spacing w:after="0" w:line="240" w:lineRule="auto"/>
            </w:pPr>
            <w:r/>
            <w:r>
              <w:rPr>
                <w:rFonts w:ascii="Aptos" w:hAnsi="Aptos"/>
                <w:b w:val="0"/>
                <w:sz w:val="15"/>
              </w:rPr>
              <w:t>portfolio_evidence_basket.json</w:t>
            </w:r>
          </w:p>
        </w:tc>
        <w:tc>
          <w:tcPr>
            <w:tcW w:type="dxa" w:w="5141"/>
            <w:vAlign w:val="top"/>
          </w:tcPr>
          <w:p>
            <w:pPr>
              <w:spacing w:after="0" w:line="240" w:lineRule="auto"/>
            </w:pPr>
            <w:r/>
            <w:r>
              <w:rPr>
                <w:rFonts w:ascii="Aptos" w:hAnsi="Aptos"/>
                <w:b w:val="0"/>
                <w:sz w:val="15"/>
              </w:rPr>
              <w:t>Source records, timestamps, credibility scores, and signal-to-output trace.</w:t>
            </w:r>
          </w:p>
        </w:tc>
      </w:tr>
      <w:tr>
        <w:trPr>
          <w:cantSplit/>
        </w:trPr>
        <w:tc>
          <w:tcPr>
            <w:tcW w:type="dxa" w:w="5141"/>
            <w:vAlign w:val="top"/>
            <w:shd w:fill="F7FBFE"/>
          </w:tcPr>
          <w:p>
            <w:pPr>
              <w:spacing w:after="0" w:line="240" w:lineRule="auto"/>
            </w:pPr>
            <w:r/>
            <w:r>
              <w:rPr>
                <w:rFonts w:ascii="Aptos" w:hAnsi="Aptos"/>
                <w:b w:val="0"/>
                <w:sz w:val="15"/>
              </w:rPr>
              <w:t>portfolio_export.xlsx</w:t>
            </w:r>
          </w:p>
        </w:tc>
        <w:tc>
          <w:tcPr>
            <w:tcW w:type="dxa" w:w="5141"/>
            <w:vAlign w:val="top"/>
            <w:shd w:fill="F7FBFE"/>
          </w:tcPr>
          <w:p>
            <w:pPr>
              <w:spacing w:after="0" w:line="240" w:lineRule="auto"/>
            </w:pPr>
            <w:r/>
            <w:r>
              <w:rPr>
                <w:rFonts w:ascii="Aptos" w:hAnsi="Aptos"/>
                <w:b w:val="0"/>
                <w:sz w:val="15"/>
              </w:rPr>
              <w:t>Downloadable structured portfolio table with holdings, weights, valuation metrics, risk fields, and evidence references.</w:t>
            </w:r>
          </w:p>
        </w:tc>
      </w:tr>
    </w:tbl>
    <w:p/>
    <w:p>
      <w:pPr>
        <w:pStyle w:val="Heading2"/>
      </w:pPr>
      <w:r>
        <w:t>4.6 Portfolio Proof Acceptance Criteria</w:t>
      </w:r>
    </w:p>
    <w:p>
      <w:pPr>
        <w:pStyle w:val="ListBullet"/>
      </w:pPr>
      <w:r>
        <w:t>Portfolio is generated by Claire, not manually assembled outside the system.</w:t>
      </w:r>
    </w:p>
    <w:p>
      <w:pPr>
        <w:pStyle w:val="ListBullet"/>
      </w:pPr>
      <w:r>
        <w:t>Every holding, weighting, and recommendation is traceable to lifecycle outputs and evidence.</w:t>
      </w:r>
    </w:p>
    <w:p>
      <w:pPr>
        <w:pStyle w:val="ListBullet"/>
      </w:pPr>
      <w:r>
        <w:t>Market data and valuation data are timestamped and verifiable.</w:t>
      </w:r>
    </w:p>
    <w:p>
      <w:pPr>
        <w:pStyle w:val="ListBullet"/>
      </w:pPr>
      <w:r>
        <w:t>Portfolio math passes independent spreadsheet-level checks.</w:t>
      </w:r>
    </w:p>
    <w:p>
      <w:pPr>
        <w:pStyle w:val="ListBullet"/>
      </w:pPr>
      <w:r>
        <w:t>Risk and benchmark analysis are present and clear.</w:t>
      </w:r>
    </w:p>
    <w:p>
      <w:pPr>
        <w:pStyle w:val="ListBullet"/>
      </w:pPr>
      <w:r>
        <w:t>The final result can be reviewed by a finance-literate third party and considered internally coherent and defensible.</w:t>
      </w:r>
    </w:p>
    <w:p>
      <w:r>
        <w:br w:type="page"/>
      </w:r>
    </w:p>
    <w:p>
      <w:pPr>
        <w:pStyle w:val="Heading1"/>
      </w:pPr>
      <w:r>
        <w:t>5. Proof Case B - Verified Technology / Design Pathway Output</w:t>
      </w:r>
    </w:p>
    <w:p>
      <w:pPr>
        <w:pStyle w:val="Heading2"/>
      </w:pPr>
      <w:r>
        <w:t>5.1 Objective</w:t>
      </w:r>
    </w:p>
    <w:p>
      <w:r>
        <w:t>Claire must generate a technology pathway or design output from real opportunity signals through the lifecycle. The resulting pathway must then be verified using standard technical, feasibility, market, and buildability checks.</w:t>
      </w:r>
    </w:p>
    <w:p>
      <w:pPr>
        <w:pStyle w:val="Heading2"/>
      </w:pPr>
      <w:r>
        <w:t>5.2 Required Input Types</w:t>
      </w:r>
    </w:p>
    <w:p>
      <w:pPr>
        <w:pStyle w:val="ListBullet"/>
      </w:pPr>
      <w:r>
        <w:t>Real opportunity signals from patents, research papers, market shifts, technology announcements, customer demand, industry pain points, or system weaknesses.</w:t>
      </w:r>
    </w:p>
    <w:p>
      <w:pPr>
        <w:pStyle w:val="ListBullet"/>
      </w:pPr>
      <w:r>
        <w:t>Source metadata, timestamp, credibility score, and retrieval method for all evidence.</w:t>
      </w:r>
    </w:p>
    <w:p>
      <w:pPr>
        <w:pStyle w:val="ListBullet"/>
      </w:pPr>
      <w:r>
        <w:t>Technology context including available components, dependencies, stack options, maturity levels, and integration constraints.</w:t>
      </w:r>
    </w:p>
    <w:p>
      <w:pPr>
        <w:pStyle w:val="ListBullet"/>
      </w:pPr>
      <w:r>
        <w:t>Market and competitive context relevant to the technology pathway.</w:t>
      </w:r>
    </w:p>
    <w:p>
      <w:pPr>
        <w:pStyle w:val="Heading2"/>
      </w:pPr>
      <w:r>
        <w:t>5.3 Lifecycle Execution Path</w:t>
      </w:r>
    </w:p>
    <w:p>
      <w:r>
        <w:t>The technology proof should run through route-aware lifecycle execution, not a separate design tool:</w:t>
      </w:r>
    </w:p>
    <w:p>
      <w:pPr>
        <w:pStyle w:val="ListNumber"/>
      </w:pPr>
      <w:r>
        <w:t>Signal Ingestion</w:t>
      </w:r>
    </w:p>
    <w:p>
      <w:pPr>
        <w:pStyle w:val="ListNumber"/>
      </w:pPr>
      <w:r>
        <w:t>Signal Normalization</w:t>
      </w:r>
    </w:p>
    <w:p>
      <w:pPr>
        <w:pStyle w:val="ListNumber"/>
      </w:pPr>
      <w:r>
        <w:t>Source Validation &amp; Weighting</w:t>
      </w:r>
    </w:p>
    <w:p>
      <w:pPr>
        <w:pStyle w:val="ListNumber"/>
      </w:pPr>
      <w:r>
        <w:t>Context Expansion</w:t>
      </w:r>
    </w:p>
    <w:p>
      <w:pPr>
        <w:pStyle w:val="ListNumber"/>
      </w:pPr>
      <w:r>
        <w:t>Signal Consolidation</w:t>
      </w:r>
    </w:p>
    <w:p>
      <w:pPr>
        <w:pStyle w:val="ListNumber"/>
      </w:pPr>
      <w:r>
        <w:t>Entity Extraction</w:t>
      </w:r>
    </w:p>
    <w:p>
      <w:pPr>
        <w:pStyle w:val="ListNumber"/>
      </w:pPr>
      <w:r>
        <w:t>Relationship Mapping</w:t>
      </w:r>
    </w:p>
    <w:p>
      <w:pPr>
        <w:pStyle w:val="ListNumber"/>
      </w:pPr>
      <w:r>
        <w:t>Trend Discovery</w:t>
      </w:r>
    </w:p>
    <w:p>
      <w:pPr>
        <w:pStyle w:val="ListNumber"/>
      </w:pPr>
      <w:r>
        <w:t>Cluster Formation</w:t>
      </w:r>
    </w:p>
    <w:p>
      <w:pPr>
        <w:pStyle w:val="ListNumber"/>
      </w:pPr>
      <w:r>
        <w:t>Insight / Thesis Structuring</w:t>
      </w:r>
    </w:p>
    <w:p>
      <w:pPr>
        <w:pStyle w:val="ListNumber"/>
      </w:pPr>
      <w:r>
        <w:t>Gap Detection</w:t>
      </w:r>
    </w:p>
    <w:p>
      <w:pPr>
        <w:pStyle w:val="ListNumber"/>
      </w:pPr>
      <w:r>
        <w:t>Gap Qualification</w:t>
      </w:r>
    </w:p>
    <w:p>
      <w:pPr>
        <w:pStyle w:val="ListNumber"/>
      </w:pPr>
      <w:r>
        <w:t>Discovery Generation</w:t>
      </w:r>
    </w:p>
    <w:p>
      <w:pPr>
        <w:pStyle w:val="ListNumber"/>
      </w:pPr>
      <w:r>
        <w:t>Breakthrough Identification &amp; Classification</w:t>
      </w:r>
    </w:p>
    <w:p>
      <w:pPr>
        <w:pStyle w:val="ListNumber"/>
      </w:pPr>
      <w:r>
        <w:t>Advancement Path Selection</w:t>
      </w:r>
    </w:p>
    <w:p>
      <w:pPr>
        <w:pStyle w:val="ListNumber"/>
      </w:pPr>
      <w:r>
        <w:t>Auto Invention / Solution Generation where justified</w:t>
      </w:r>
    </w:p>
    <w:p>
      <w:pPr>
        <w:pStyle w:val="ListNumber"/>
      </w:pPr>
      <w:r>
        <w:t>Solution Structuring</w:t>
      </w:r>
    </w:p>
    <w:p>
      <w:pPr>
        <w:pStyle w:val="ListNumber"/>
      </w:pPr>
      <w:r>
        <w:t>Buildability Assessment</w:t>
      </w:r>
    </w:p>
    <w:p>
      <w:pPr>
        <w:pStyle w:val="ListNumber"/>
      </w:pPr>
      <w:r>
        <w:t>Viability Assessment</w:t>
      </w:r>
    </w:p>
    <w:p>
      <w:pPr>
        <w:pStyle w:val="ListNumber"/>
      </w:pPr>
      <w:r>
        <w:t>Manufacturability / Deployability Assessment</w:t>
      </w:r>
    </w:p>
    <w:p>
      <w:pPr>
        <w:pStyle w:val="ListNumber"/>
      </w:pPr>
      <w:r>
        <w:t>Feasibility Validation</w:t>
      </w:r>
    </w:p>
    <w:p>
      <w:pPr>
        <w:pStyle w:val="ListNumber"/>
      </w:pPr>
      <w:r>
        <w:t>Design Portal Output / Blueprints / Specs where route-appropriate</w:t>
      </w:r>
    </w:p>
    <w:p>
      <w:pPr>
        <w:pStyle w:val="ListNumber"/>
      </w:pPr>
      <w:r>
        <w:t>Market Positioning</w:t>
      </w:r>
    </w:p>
    <w:p>
      <w:pPr>
        <w:pStyle w:val="ListNumber"/>
      </w:pPr>
      <w:r>
        <w:t>Moat &amp; Differentiation</w:t>
      </w:r>
    </w:p>
    <w:p>
      <w:pPr>
        <w:pStyle w:val="ListNumber"/>
      </w:pPr>
      <w:r>
        <w:t>Business Model &amp; Value Capture</w:t>
      </w:r>
    </w:p>
    <w:p>
      <w:pPr>
        <w:pStyle w:val="ListNumber"/>
      </w:pPr>
      <w:r>
        <w:t>Competitor Analysis</w:t>
      </w:r>
    </w:p>
    <w:p>
      <w:pPr>
        <w:pStyle w:val="ListNumber"/>
      </w:pPr>
      <w:r>
        <w:t>Acquirer Identification</w:t>
      </w:r>
    </w:p>
    <w:p>
      <w:pPr>
        <w:pStyle w:val="ListNumber"/>
      </w:pPr>
      <w:r>
        <w:t>Acquisition Fit &amp; Rationale</w:t>
      </w:r>
    </w:p>
    <w:p>
      <w:pPr>
        <w:pStyle w:val="ListNumber"/>
      </w:pPr>
      <w:r>
        <w:t>Final Package Construction if qualified</w:t>
      </w:r>
    </w:p>
    <w:p>
      <w:pPr>
        <w:pStyle w:val="Heading2"/>
      </w:pPr>
      <w:r>
        <w:t>5.4 Industry-Standard Verification Checklist</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top"/>
            <w:shd w:fill="1F4E79"/>
          </w:tcPr>
          <w:p>
            <w:pPr>
              <w:spacing w:after="0" w:line="240" w:lineRule="auto"/>
            </w:pPr>
            <w:r/>
            <w:r>
              <w:rPr>
                <w:rFonts w:ascii="Aptos" w:hAnsi="Aptos"/>
                <w:b/>
                <w:color w:val="FFFFFF"/>
                <w:sz w:val="16"/>
              </w:rPr>
              <w:t>Verification Area</w:t>
            </w:r>
          </w:p>
        </w:tc>
        <w:tc>
          <w:tcPr>
            <w:tcW w:type="dxa" w:w="3427"/>
            <w:vAlign w:val="top"/>
            <w:shd w:fill="1F4E79"/>
          </w:tcPr>
          <w:p>
            <w:pPr>
              <w:spacing w:after="0" w:line="240" w:lineRule="auto"/>
            </w:pPr>
            <w:r/>
            <w:r>
              <w:rPr>
                <w:rFonts w:ascii="Aptos" w:hAnsi="Aptos"/>
                <w:b/>
                <w:color w:val="FFFFFF"/>
                <w:sz w:val="16"/>
              </w:rPr>
              <w:t>Required Checks</w:t>
            </w:r>
          </w:p>
        </w:tc>
        <w:tc>
          <w:tcPr>
            <w:tcW w:type="dxa" w:w="3427"/>
            <w:vAlign w:val="top"/>
            <w:shd w:fill="1F4E79"/>
          </w:tcPr>
          <w:p>
            <w:pPr>
              <w:spacing w:after="0" w:line="240" w:lineRule="auto"/>
            </w:pPr>
            <w:r/>
            <w:r>
              <w:rPr>
                <w:rFonts w:ascii="Aptos" w:hAnsi="Aptos"/>
                <w:b/>
                <w:color w:val="FFFFFF"/>
                <w:sz w:val="16"/>
              </w:rPr>
              <w:t>Pass Condition</w:t>
            </w:r>
          </w:p>
        </w:tc>
      </w:tr>
      <w:tr>
        <w:trPr>
          <w:cantSplit/>
        </w:trPr>
        <w:tc>
          <w:tcPr>
            <w:tcW w:type="dxa" w:w="3427"/>
            <w:vAlign w:val="top"/>
            <w:shd w:fill="F7FBFE"/>
          </w:tcPr>
          <w:p>
            <w:pPr>
              <w:spacing w:after="0" w:line="240" w:lineRule="auto"/>
            </w:pPr>
            <w:r/>
            <w:r>
              <w:rPr>
                <w:rFonts w:ascii="Aptos" w:hAnsi="Aptos"/>
                <w:b w:val="0"/>
                <w:sz w:val="15"/>
              </w:rPr>
              <w:t>Route Correctness</w:t>
            </w:r>
          </w:p>
        </w:tc>
        <w:tc>
          <w:tcPr>
            <w:tcW w:type="dxa" w:w="3427"/>
            <w:vAlign w:val="top"/>
            <w:shd w:fill="F7FBFE"/>
          </w:tcPr>
          <w:p>
            <w:pPr>
              <w:spacing w:after="0" w:line="240" w:lineRule="auto"/>
            </w:pPr>
            <w:r/>
            <w:r>
              <w:rPr>
                <w:rFonts w:ascii="Aptos" w:hAnsi="Aptos"/>
                <w:b w:val="0"/>
                <w:sz w:val="15"/>
              </w:rPr>
              <w:t>Confirm the system selected portfolio, acquisition, design, system replacement, or other route correctly.</w:t>
            </w:r>
          </w:p>
        </w:tc>
        <w:tc>
          <w:tcPr>
            <w:tcW w:type="dxa" w:w="3427"/>
            <w:vAlign w:val="top"/>
            <w:shd w:fill="F7FBFE"/>
          </w:tcPr>
          <w:p>
            <w:pPr>
              <w:spacing w:after="0" w:line="240" w:lineRule="auto"/>
            </w:pPr>
            <w:r/>
            <w:r>
              <w:rPr>
                <w:rFonts w:ascii="Aptos" w:hAnsi="Aptos"/>
                <w:b w:val="0"/>
                <w:sz w:val="15"/>
              </w:rPr>
              <w:t>The route matches the signal strength, evidence, and breakthrough classification.</w:t>
            </w:r>
          </w:p>
        </w:tc>
      </w:tr>
      <w:tr>
        <w:trPr>
          <w:cantSplit/>
        </w:trPr>
        <w:tc>
          <w:tcPr>
            <w:tcW w:type="dxa" w:w="3427"/>
            <w:vAlign w:val="top"/>
          </w:tcPr>
          <w:p>
            <w:pPr>
              <w:spacing w:after="0" w:line="240" w:lineRule="auto"/>
            </w:pPr>
            <w:r/>
            <w:r>
              <w:rPr>
                <w:rFonts w:ascii="Aptos" w:hAnsi="Aptos"/>
                <w:b w:val="0"/>
                <w:sz w:val="15"/>
              </w:rPr>
              <w:t>Technical Feasibility</w:t>
            </w:r>
          </w:p>
        </w:tc>
        <w:tc>
          <w:tcPr>
            <w:tcW w:type="dxa" w:w="3427"/>
            <w:vAlign w:val="top"/>
          </w:tcPr>
          <w:p>
            <w:pPr>
              <w:spacing w:after="0" w:line="240" w:lineRule="auto"/>
            </w:pPr>
            <w:r/>
            <w:r>
              <w:rPr>
                <w:rFonts w:ascii="Aptos" w:hAnsi="Aptos"/>
                <w:b w:val="0"/>
                <w:sz w:val="15"/>
              </w:rPr>
              <w:t>Assess whether required components, methods, tools, APIs, materials, or infrastructure exist or are plausible.</w:t>
            </w:r>
          </w:p>
        </w:tc>
        <w:tc>
          <w:tcPr>
            <w:tcW w:type="dxa" w:w="3427"/>
            <w:vAlign w:val="top"/>
          </w:tcPr>
          <w:p>
            <w:pPr>
              <w:spacing w:after="0" w:line="240" w:lineRule="auto"/>
            </w:pPr>
            <w:r/>
            <w:r>
              <w:rPr>
                <w:rFonts w:ascii="Aptos" w:hAnsi="Aptos"/>
                <w:b w:val="0"/>
                <w:sz w:val="15"/>
              </w:rPr>
              <w:t>No impossible technical assumptions; unknowns are flagged.</w:t>
            </w:r>
          </w:p>
        </w:tc>
      </w:tr>
      <w:tr>
        <w:trPr>
          <w:cantSplit/>
        </w:trPr>
        <w:tc>
          <w:tcPr>
            <w:tcW w:type="dxa" w:w="3427"/>
            <w:vAlign w:val="top"/>
            <w:shd w:fill="F7FBFE"/>
          </w:tcPr>
          <w:p>
            <w:pPr>
              <w:spacing w:after="0" w:line="240" w:lineRule="auto"/>
            </w:pPr>
            <w:r/>
            <w:r>
              <w:rPr>
                <w:rFonts w:ascii="Aptos" w:hAnsi="Aptos"/>
                <w:b w:val="0"/>
                <w:sz w:val="15"/>
              </w:rPr>
              <w:t>Component Availability</w:t>
            </w:r>
          </w:p>
        </w:tc>
        <w:tc>
          <w:tcPr>
            <w:tcW w:type="dxa" w:w="3427"/>
            <w:vAlign w:val="top"/>
            <w:shd w:fill="F7FBFE"/>
          </w:tcPr>
          <w:p>
            <w:pPr>
              <w:spacing w:after="0" w:line="240" w:lineRule="auto"/>
            </w:pPr>
            <w:r/>
            <w:r>
              <w:rPr>
                <w:rFonts w:ascii="Aptos" w:hAnsi="Aptos"/>
                <w:b w:val="0"/>
                <w:sz w:val="15"/>
              </w:rPr>
              <w:t>Map components, dependencies, stack requirements, vendors, open-source options, or technical substitutes.</w:t>
            </w:r>
          </w:p>
        </w:tc>
        <w:tc>
          <w:tcPr>
            <w:tcW w:type="dxa" w:w="3427"/>
            <w:vAlign w:val="top"/>
            <w:shd w:fill="F7FBFE"/>
          </w:tcPr>
          <w:p>
            <w:pPr>
              <w:spacing w:after="0" w:line="240" w:lineRule="auto"/>
            </w:pPr>
            <w:r/>
            <w:r>
              <w:rPr>
                <w:rFonts w:ascii="Aptos" w:hAnsi="Aptos"/>
                <w:b w:val="0"/>
                <w:sz w:val="15"/>
              </w:rPr>
              <w:t>Core components are available or development gaps are clearly identified.</w:t>
            </w:r>
          </w:p>
        </w:tc>
      </w:tr>
      <w:tr>
        <w:trPr>
          <w:cantSplit/>
        </w:trPr>
        <w:tc>
          <w:tcPr>
            <w:tcW w:type="dxa" w:w="3427"/>
            <w:vAlign w:val="top"/>
          </w:tcPr>
          <w:p>
            <w:pPr>
              <w:spacing w:after="0" w:line="240" w:lineRule="auto"/>
            </w:pPr>
            <w:r/>
            <w:r>
              <w:rPr>
                <w:rFonts w:ascii="Aptos" w:hAnsi="Aptos"/>
                <w:b w:val="0"/>
                <w:sz w:val="15"/>
              </w:rPr>
              <w:t>Buildability</w:t>
            </w:r>
          </w:p>
        </w:tc>
        <w:tc>
          <w:tcPr>
            <w:tcW w:type="dxa" w:w="3427"/>
            <w:vAlign w:val="top"/>
          </w:tcPr>
          <w:p>
            <w:pPr>
              <w:spacing w:after="0" w:line="240" w:lineRule="auto"/>
            </w:pPr>
            <w:r/>
            <w:r>
              <w:rPr>
                <w:rFonts w:ascii="Aptos" w:hAnsi="Aptos"/>
                <w:b w:val="0"/>
                <w:sz w:val="15"/>
              </w:rPr>
              <w:t>Review architecture, build phases, integration complexity, skills required, and implementation sequence.</w:t>
            </w:r>
          </w:p>
        </w:tc>
        <w:tc>
          <w:tcPr>
            <w:tcW w:type="dxa" w:w="3427"/>
            <w:vAlign w:val="top"/>
          </w:tcPr>
          <w:p>
            <w:pPr>
              <w:spacing w:after="0" w:line="240" w:lineRule="auto"/>
            </w:pPr>
            <w:r/>
            <w:r>
              <w:rPr>
                <w:rFonts w:ascii="Aptos" w:hAnsi="Aptos"/>
                <w:b w:val="0"/>
                <w:sz w:val="15"/>
              </w:rPr>
              <w:t>Build plan is coherent enough for a technical reviewer to evaluate.</w:t>
            </w:r>
          </w:p>
        </w:tc>
      </w:tr>
      <w:tr>
        <w:trPr>
          <w:cantSplit/>
        </w:trPr>
        <w:tc>
          <w:tcPr>
            <w:tcW w:type="dxa" w:w="3427"/>
            <w:vAlign w:val="top"/>
            <w:shd w:fill="F7FBFE"/>
          </w:tcPr>
          <w:p>
            <w:pPr>
              <w:spacing w:after="0" w:line="240" w:lineRule="auto"/>
            </w:pPr>
            <w:r/>
            <w:r>
              <w:rPr>
                <w:rFonts w:ascii="Aptos" w:hAnsi="Aptos"/>
                <w:b w:val="0"/>
                <w:sz w:val="15"/>
              </w:rPr>
              <w:t>Viability</w:t>
            </w:r>
          </w:p>
        </w:tc>
        <w:tc>
          <w:tcPr>
            <w:tcW w:type="dxa" w:w="3427"/>
            <w:vAlign w:val="top"/>
            <w:shd w:fill="F7FBFE"/>
          </w:tcPr>
          <w:p>
            <w:pPr>
              <w:spacing w:after="0" w:line="240" w:lineRule="auto"/>
            </w:pPr>
            <w:r/>
            <w:r>
              <w:rPr>
                <w:rFonts w:ascii="Aptos" w:hAnsi="Aptos"/>
                <w:b w:val="0"/>
                <w:sz w:val="15"/>
              </w:rPr>
              <w:t>Check market need, customer/use-case fit, economic logic, adoption friction, and timing.</w:t>
            </w:r>
          </w:p>
        </w:tc>
        <w:tc>
          <w:tcPr>
            <w:tcW w:type="dxa" w:w="3427"/>
            <w:vAlign w:val="top"/>
            <w:shd w:fill="F7FBFE"/>
          </w:tcPr>
          <w:p>
            <w:pPr>
              <w:spacing w:after="0" w:line="240" w:lineRule="auto"/>
            </w:pPr>
            <w:r/>
            <w:r>
              <w:rPr>
                <w:rFonts w:ascii="Aptos" w:hAnsi="Aptos"/>
                <w:b w:val="0"/>
                <w:sz w:val="15"/>
              </w:rPr>
              <w:t>Commercial logic is plausible and evidence-backed.</w:t>
            </w:r>
          </w:p>
        </w:tc>
      </w:tr>
      <w:tr>
        <w:trPr>
          <w:cantSplit/>
        </w:trPr>
        <w:tc>
          <w:tcPr>
            <w:tcW w:type="dxa" w:w="3427"/>
            <w:vAlign w:val="top"/>
          </w:tcPr>
          <w:p>
            <w:pPr>
              <w:spacing w:after="0" w:line="240" w:lineRule="auto"/>
            </w:pPr>
            <w:r/>
            <w:r>
              <w:rPr>
                <w:rFonts w:ascii="Aptos" w:hAnsi="Aptos"/>
                <w:b w:val="0"/>
                <w:sz w:val="15"/>
              </w:rPr>
              <w:t>Deployability</w:t>
            </w:r>
          </w:p>
        </w:tc>
        <w:tc>
          <w:tcPr>
            <w:tcW w:type="dxa" w:w="3427"/>
            <w:vAlign w:val="top"/>
          </w:tcPr>
          <w:p>
            <w:pPr>
              <w:spacing w:after="0" w:line="240" w:lineRule="auto"/>
            </w:pPr>
            <w:r/>
            <w:r>
              <w:rPr>
                <w:rFonts w:ascii="Aptos" w:hAnsi="Aptos"/>
                <w:b w:val="0"/>
                <w:sz w:val="15"/>
              </w:rPr>
              <w:t>Assess deployment pathway, operational readiness, compliance needs, scaling path, and maintenance burden.</w:t>
            </w:r>
          </w:p>
        </w:tc>
        <w:tc>
          <w:tcPr>
            <w:tcW w:type="dxa" w:w="3427"/>
            <w:vAlign w:val="top"/>
          </w:tcPr>
          <w:p>
            <w:pPr>
              <w:spacing w:after="0" w:line="240" w:lineRule="auto"/>
            </w:pPr>
            <w:r/>
            <w:r>
              <w:rPr>
                <w:rFonts w:ascii="Aptos" w:hAnsi="Aptos"/>
                <w:b w:val="0"/>
                <w:sz w:val="15"/>
              </w:rPr>
              <w:t>Deployment risks are known and not ignored.</w:t>
            </w:r>
          </w:p>
        </w:tc>
      </w:tr>
      <w:tr>
        <w:trPr>
          <w:cantSplit/>
        </w:trPr>
        <w:tc>
          <w:tcPr>
            <w:tcW w:type="dxa" w:w="3427"/>
            <w:vAlign w:val="top"/>
            <w:shd w:fill="F7FBFE"/>
          </w:tcPr>
          <w:p>
            <w:pPr>
              <w:spacing w:after="0" w:line="240" w:lineRule="auto"/>
            </w:pPr>
            <w:r/>
            <w:r>
              <w:rPr>
                <w:rFonts w:ascii="Aptos" w:hAnsi="Aptos"/>
                <w:b w:val="0"/>
                <w:sz w:val="15"/>
              </w:rPr>
              <w:t>Competitive Landscape</w:t>
            </w:r>
          </w:p>
        </w:tc>
        <w:tc>
          <w:tcPr>
            <w:tcW w:type="dxa" w:w="3427"/>
            <w:vAlign w:val="top"/>
            <w:shd w:fill="F7FBFE"/>
          </w:tcPr>
          <w:p>
            <w:pPr>
              <w:spacing w:after="0" w:line="240" w:lineRule="auto"/>
            </w:pPr>
            <w:r/>
            <w:r>
              <w:rPr>
                <w:rFonts w:ascii="Aptos" w:hAnsi="Aptos"/>
                <w:b w:val="0"/>
                <w:sz w:val="15"/>
              </w:rPr>
              <w:t>Identify incumbents, substitutes, direct and indirect threats, and differentiation.</w:t>
            </w:r>
          </w:p>
        </w:tc>
        <w:tc>
          <w:tcPr>
            <w:tcW w:type="dxa" w:w="3427"/>
            <w:vAlign w:val="top"/>
            <w:shd w:fill="F7FBFE"/>
          </w:tcPr>
          <w:p>
            <w:pPr>
              <w:spacing w:after="0" w:line="240" w:lineRule="auto"/>
            </w:pPr>
            <w:r/>
            <w:r>
              <w:rPr>
                <w:rFonts w:ascii="Aptos" w:hAnsi="Aptos"/>
                <w:b w:val="0"/>
                <w:sz w:val="15"/>
              </w:rPr>
              <w:t>Positioning is realistic and not generic.</w:t>
            </w:r>
          </w:p>
        </w:tc>
      </w:tr>
      <w:tr>
        <w:trPr>
          <w:cantSplit/>
        </w:trPr>
        <w:tc>
          <w:tcPr>
            <w:tcW w:type="dxa" w:w="3427"/>
            <w:vAlign w:val="top"/>
          </w:tcPr>
          <w:p>
            <w:pPr>
              <w:spacing w:after="0" w:line="240" w:lineRule="auto"/>
            </w:pPr>
            <w:r/>
            <w:r>
              <w:rPr>
                <w:rFonts w:ascii="Aptos" w:hAnsi="Aptos"/>
                <w:b w:val="0"/>
                <w:sz w:val="15"/>
              </w:rPr>
              <w:t>Acquirer / Strategic Fit</w:t>
            </w:r>
          </w:p>
        </w:tc>
        <w:tc>
          <w:tcPr>
            <w:tcW w:type="dxa" w:w="3427"/>
            <w:vAlign w:val="top"/>
          </w:tcPr>
          <w:p>
            <w:pPr>
              <w:spacing w:after="0" w:line="240" w:lineRule="auto"/>
            </w:pPr>
            <w:r/>
            <w:r>
              <w:rPr>
                <w:rFonts w:ascii="Aptos" w:hAnsi="Aptos"/>
                <w:b w:val="0"/>
                <w:sz w:val="15"/>
              </w:rPr>
              <w:t>Map likely buyers, strategic reasons, integration path, and objections.</w:t>
            </w:r>
          </w:p>
        </w:tc>
        <w:tc>
          <w:tcPr>
            <w:tcW w:type="dxa" w:w="3427"/>
            <w:vAlign w:val="top"/>
          </w:tcPr>
          <w:p>
            <w:pPr>
              <w:spacing w:after="0" w:line="240" w:lineRule="auto"/>
            </w:pPr>
            <w:r/>
            <w:r>
              <w:rPr>
                <w:rFonts w:ascii="Aptos" w:hAnsi="Aptos"/>
                <w:b w:val="0"/>
                <w:sz w:val="15"/>
              </w:rPr>
              <w:t>Fit rationale is specific enough for external review.</w:t>
            </w:r>
          </w:p>
        </w:tc>
      </w:tr>
    </w:tbl>
    <w:p/>
    <w:p>
      <w:pPr>
        <w:pStyle w:val="Heading2"/>
      </w:pPr>
      <w:r>
        <w:t>5.5 Required Technology Proof Outputs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top"/>
            <w:shd w:fill="1F4E79"/>
          </w:tcPr>
          <w:p>
            <w:pPr>
              <w:spacing w:after="0" w:line="240" w:lineRule="auto"/>
            </w:pPr>
            <w:r/>
            <w:r>
              <w:rPr>
                <w:rFonts w:ascii="Aptos" w:hAnsi="Aptos"/>
                <w:b/>
                <w:color w:val="FFFFFF"/>
                <w:sz w:val="16"/>
              </w:rPr>
              <w:t>Artifact</w:t>
            </w:r>
          </w:p>
        </w:tc>
        <w:tc>
          <w:tcPr>
            <w:tcW w:type="dxa" w:w="5141"/>
            <w:vAlign w:val="top"/>
            <w:shd w:fill="1F4E79"/>
          </w:tcPr>
          <w:p>
            <w:pPr>
              <w:spacing w:after="0" w:line="240" w:lineRule="auto"/>
            </w:pPr>
            <w:r/>
            <w:r>
              <w:rPr>
                <w:rFonts w:ascii="Aptos" w:hAnsi="Aptos"/>
                <w:b/>
                <w:color w:val="FFFFFF"/>
                <w:sz w:val="16"/>
              </w:rPr>
              <w:t>Purpose</w:t>
            </w:r>
          </w:p>
        </w:tc>
      </w:tr>
      <w:tr>
        <w:trPr>
          <w:cantSplit/>
        </w:trPr>
        <w:tc>
          <w:tcPr>
            <w:tcW w:type="dxa" w:w="5141"/>
            <w:vAlign w:val="top"/>
            <w:shd w:fill="F7FBFE"/>
          </w:tcPr>
          <w:p>
            <w:pPr>
              <w:spacing w:after="0" w:line="240" w:lineRule="auto"/>
            </w:pPr>
            <w:r/>
            <w:r>
              <w:rPr>
                <w:rFonts w:ascii="Aptos" w:hAnsi="Aptos"/>
                <w:b w:val="0"/>
                <w:sz w:val="15"/>
              </w:rPr>
              <w:t>technology_pathway_output.json</w:t>
            </w:r>
          </w:p>
        </w:tc>
        <w:tc>
          <w:tcPr>
            <w:tcW w:type="dxa" w:w="5141"/>
            <w:vAlign w:val="top"/>
            <w:shd w:fill="F7FBFE"/>
          </w:tcPr>
          <w:p>
            <w:pPr>
              <w:spacing w:after="0" w:line="240" w:lineRule="auto"/>
            </w:pPr>
            <w:r/>
            <w:r>
              <w:rPr>
                <w:rFonts w:ascii="Aptos" w:hAnsi="Aptos"/>
                <w:b w:val="0"/>
                <w:sz w:val="15"/>
              </w:rPr>
              <w:t>Machine-readable lifecycle output containing route, classification, concept, buildability, viability, and evidence references.</w:t>
            </w:r>
          </w:p>
        </w:tc>
      </w:tr>
      <w:tr>
        <w:trPr>
          <w:cantSplit/>
        </w:trPr>
        <w:tc>
          <w:tcPr>
            <w:tcW w:type="dxa" w:w="5141"/>
            <w:vAlign w:val="top"/>
          </w:tcPr>
          <w:p>
            <w:pPr>
              <w:spacing w:after="0" w:line="240" w:lineRule="auto"/>
            </w:pPr>
            <w:r/>
            <w:r>
              <w:rPr>
                <w:rFonts w:ascii="Aptos" w:hAnsi="Aptos"/>
                <w:b w:val="0"/>
                <w:sz w:val="15"/>
              </w:rPr>
              <w:t>technology_design_pathway.md or .pdf</w:t>
            </w:r>
          </w:p>
        </w:tc>
        <w:tc>
          <w:tcPr>
            <w:tcW w:type="dxa" w:w="5141"/>
            <w:vAlign w:val="top"/>
          </w:tcPr>
          <w:p>
            <w:pPr>
              <w:spacing w:after="0" w:line="240" w:lineRule="auto"/>
            </w:pPr>
            <w:r/>
            <w:r>
              <w:rPr>
                <w:rFonts w:ascii="Aptos" w:hAnsi="Aptos"/>
                <w:b w:val="0"/>
                <w:sz w:val="15"/>
              </w:rPr>
              <w:t>Human-readable technology pathway, route explanation, and strategic rationale.</w:t>
            </w:r>
          </w:p>
        </w:tc>
      </w:tr>
      <w:tr>
        <w:trPr>
          <w:cantSplit/>
        </w:trPr>
        <w:tc>
          <w:tcPr>
            <w:tcW w:type="dxa" w:w="5141"/>
            <w:vAlign w:val="top"/>
            <w:shd w:fill="F7FBFE"/>
          </w:tcPr>
          <w:p>
            <w:pPr>
              <w:spacing w:after="0" w:line="240" w:lineRule="auto"/>
            </w:pPr>
            <w:r/>
            <w:r>
              <w:rPr>
                <w:rFonts w:ascii="Aptos" w:hAnsi="Aptos"/>
                <w:b w:val="0"/>
                <w:sz w:val="15"/>
              </w:rPr>
              <w:t>buildability_report.md</w:t>
            </w:r>
          </w:p>
        </w:tc>
        <w:tc>
          <w:tcPr>
            <w:tcW w:type="dxa" w:w="5141"/>
            <w:vAlign w:val="top"/>
            <w:shd w:fill="F7FBFE"/>
          </w:tcPr>
          <w:p>
            <w:pPr>
              <w:spacing w:after="0" w:line="240" w:lineRule="auto"/>
            </w:pPr>
            <w:r/>
            <w:r>
              <w:rPr>
                <w:rFonts w:ascii="Aptos" w:hAnsi="Aptos"/>
                <w:b w:val="0"/>
                <w:sz w:val="15"/>
              </w:rPr>
              <w:t>Technical feasibility, dependencies, constraints, implementation phases, and missing assumptions.</w:t>
            </w:r>
          </w:p>
        </w:tc>
      </w:tr>
      <w:tr>
        <w:trPr>
          <w:cantSplit/>
        </w:trPr>
        <w:tc>
          <w:tcPr>
            <w:tcW w:type="dxa" w:w="5141"/>
            <w:vAlign w:val="top"/>
          </w:tcPr>
          <w:p>
            <w:pPr>
              <w:spacing w:after="0" w:line="240" w:lineRule="auto"/>
            </w:pPr>
            <w:r/>
            <w:r>
              <w:rPr>
                <w:rFonts w:ascii="Aptos" w:hAnsi="Aptos"/>
                <w:b w:val="0"/>
                <w:sz w:val="15"/>
              </w:rPr>
              <w:t>component_map.json</w:t>
            </w:r>
          </w:p>
        </w:tc>
        <w:tc>
          <w:tcPr>
            <w:tcW w:type="dxa" w:w="5141"/>
            <w:vAlign w:val="top"/>
          </w:tcPr>
          <w:p>
            <w:pPr>
              <w:spacing w:after="0" w:line="240" w:lineRule="auto"/>
            </w:pPr>
            <w:r/>
            <w:r>
              <w:rPr>
                <w:rFonts w:ascii="Aptos" w:hAnsi="Aptos"/>
                <w:b w:val="0"/>
                <w:sz w:val="15"/>
              </w:rPr>
              <w:t>Structured component and dependency map.</w:t>
            </w:r>
          </w:p>
        </w:tc>
      </w:tr>
      <w:tr>
        <w:trPr>
          <w:cantSplit/>
        </w:trPr>
        <w:tc>
          <w:tcPr>
            <w:tcW w:type="dxa" w:w="5141"/>
            <w:vAlign w:val="top"/>
            <w:shd w:fill="F7FBFE"/>
          </w:tcPr>
          <w:p>
            <w:pPr>
              <w:spacing w:after="0" w:line="240" w:lineRule="auto"/>
            </w:pPr>
            <w:r/>
            <w:r>
              <w:rPr>
                <w:rFonts w:ascii="Aptos" w:hAnsi="Aptos"/>
                <w:b w:val="0"/>
                <w:sz w:val="15"/>
              </w:rPr>
              <w:t>feasibility_validation_report.md</w:t>
            </w:r>
          </w:p>
        </w:tc>
        <w:tc>
          <w:tcPr>
            <w:tcW w:type="dxa" w:w="5141"/>
            <w:vAlign w:val="top"/>
            <w:shd w:fill="F7FBFE"/>
          </w:tcPr>
          <w:p>
            <w:pPr>
              <w:spacing w:after="0" w:line="240" w:lineRule="auto"/>
            </w:pPr>
            <w:r/>
            <w:r>
              <w:rPr>
                <w:rFonts w:ascii="Aptos" w:hAnsi="Aptos"/>
                <w:b w:val="0"/>
                <w:sz w:val="15"/>
              </w:rPr>
              <w:t>Validation summary across buildability, viability, deployability, risk, and evidence.</w:t>
            </w:r>
          </w:p>
        </w:tc>
      </w:tr>
      <w:tr>
        <w:trPr>
          <w:cantSplit/>
        </w:trPr>
        <w:tc>
          <w:tcPr>
            <w:tcW w:type="dxa" w:w="5141"/>
            <w:vAlign w:val="top"/>
          </w:tcPr>
          <w:p>
            <w:pPr>
              <w:spacing w:after="0" w:line="240" w:lineRule="auto"/>
            </w:pPr>
            <w:r/>
            <w:r>
              <w:rPr>
                <w:rFonts w:ascii="Aptos" w:hAnsi="Aptos"/>
                <w:b w:val="0"/>
                <w:sz w:val="15"/>
              </w:rPr>
              <w:t>technology_evidence_basket.json</w:t>
            </w:r>
          </w:p>
        </w:tc>
        <w:tc>
          <w:tcPr>
            <w:tcW w:type="dxa" w:w="5141"/>
            <w:vAlign w:val="top"/>
          </w:tcPr>
          <w:p>
            <w:pPr>
              <w:spacing w:after="0" w:line="240" w:lineRule="auto"/>
            </w:pPr>
            <w:r/>
            <w:r>
              <w:rPr>
                <w:rFonts w:ascii="Aptos" w:hAnsi="Aptos"/>
                <w:b w:val="0"/>
                <w:sz w:val="15"/>
              </w:rPr>
              <w:t>Source records, timestamps, credibility scores, and signal-to-output trace.</w:t>
            </w:r>
          </w:p>
        </w:tc>
      </w:tr>
    </w:tbl>
    <w:p/>
    <w:p>
      <w:pPr>
        <w:pStyle w:val="Heading2"/>
      </w:pPr>
      <w:r>
        <w:t>5.6 Technology Proof Acceptance Criteria</w:t>
      </w:r>
    </w:p>
    <w:p>
      <w:pPr>
        <w:pStyle w:val="ListBullet"/>
      </w:pPr>
      <w:r>
        <w:t>Technology or design pathway is generated by Claire lifecycle execution, not manually invented outside the system.</w:t>
      </w:r>
    </w:p>
    <w:p>
      <w:pPr>
        <w:pStyle w:val="ListBullet"/>
      </w:pPr>
      <w:r>
        <w:t>Route selection is explicit and justified.</w:t>
      </w:r>
    </w:p>
    <w:p>
      <w:pPr>
        <w:pStyle w:val="ListBullet"/>
      </w:pPr>
      <w:r>
        <w:t>Breakthrough classification is evidence-backed and not forced.</w:t>
      </w:r>
    </w:p>
    <w:p>
      <w:pPr>
        <w:pStyle w:val="ListBullet"/>
      </w:pPr>
      <w:r>
        <w:t>Buildability, viability, deployability, and feasibility checks are present.</w:t>
      </w:r>
    </w:p>
    <w:p>
      <w:pPr>
        <w:pStyle w:val="ListBullet"/>
      </w:pPr>
      <w:r>
        <w:t>Component and dependency assumptions are clear.</w:t>
      </w:r>
    </w:p>
    <w:p>
      <w:pPr>
        <w:pStyle w:val="ListBullet"/>
      </w:pPr>
      <w:r>
        <w:t>The final result can be reviewed by a technical or strategic reviewer and considered plausible, build-aware, and defensible.</w:t>
      </w:r>
    </w:p>
    <w:p>
      <w:r>
        <w:br w:type="page"/>
      </w:r>
    </w:p>
    <w:p>
      <w:pPr>
        <w:pStyle w:val="Heading1"/>
      </w:pPr>
      <w:r>
        <w:t>6. Live Data Ingestion Scope</w:t>
      </w:r>
    </w:p>
    <w:p>
      <w:r>
        <w:t>Live data ingestion should be minimal, governed, and proof-focused. It should not become a broad data platform before the proof phase is complete.</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top"/>
            <w:shd w:fill="1F4E79"/>
          </w:tcPr>
          <w:p>
            <w:pPr>
              <w:spacing w:after="0" w:line="240" w:lineRule="auto"/>
            </w:pPr>
            <w:r/>
            <w:r>
              <w:rPr>
                <w:rFonts w:ascii="Aptos" w:hAnsi="Aptos"/>
                <w:b/>
                <w:color w:val="FFFFFF"/>
                <w:sz w:val="16"/>
              </w:rPr>
              <w:t>Scope Area</w:t>
            </w:r>
          </w:p>
        </w:tc>
        <w:tc>
          <w:tcPr>
            <w:tcW w:type="dxa" w:w="3427"/>
            <w:vAlign w:val="top"/>
            <w:shd w:fill="1F4E79"/>
          </w:tcPr>
          <w:p>
            <w:pPr>
              <w:spacing w:after="0" w:line="240" w:lineRule="auto"/>
            </w:pPr>
            <w:r/>
            <w:r>
              <w:rPr>
                <w:rFonts w:ascii="Aptos" w:hAnsi="Aptos"/>
                <w:b/>
                <w:color w:val="FFFFFF"/>
                <w:sz w:val="16"/>
              </w:rPr>
              <w:t>Allowed</w:t>
            </w:r>
          </w:p>
        </w:tc>
        <w:tc>
          <w:tcPr>
            <w:tcW w:type="dxa" w:w="3427"/>
            <w:vAlign w:val="top"/>
            <w:shd w:fill="1F4E79"/>
          </w:tcPr>
          <w:p>
            <w:pPr>
              <w:spacing w:after="0" w:line="240" w:lineRule="auto"/>
            </w:pPr>
            <w:r/>
            <w:r>
              <w:rPr>
                <w:rFonts w:ascii="Aptos" w:hAnsi="Aptos"/>
                <w:b/>
                <w:color w:val="FFFFFF"/>
                <w:sz w:val="16"/>
              </w:rPr>
              <w:t>Forbidden During Proof Phase</w:t>
            </w:r>
          </w:p>
        </w:tc>
      </w:tr>
      <w:tr>
        <w:trPr>
          <w:cantSplit/>
        </w:trPr>
        <w:tc>
          <w:tcPr>
            <w:tcW w:type="dxa" w:w="3427"/>
            <w:vAlign w:val="top"/>
            <w:shd w:fill="F7FBFE"/>
          </w:tcPr>
          <w:p>
            <w:pPr>
              <w:spacing w:after="0" w:line="240" w:lineRule="auto"/>
            </w:pPr>
            <w:r/>
            <w:r>
              <w:rPr>
                <w:rFonts w:ascii="Aptos" w:hAnsi="Aptos"/>
                <w:b w:val="0"/>
                <w:sz w:val="15"/>
              </w:rPr>
              <w:t>Market Data</w:t>
            </w:r>
          </w:p>
        </w:tc>
        <w:tc>
          <w:tcPr>
            <w:tcW w:type="dxa" w:w="3427"/>
            <w:vAlign w:val="top"/>
            <w:shd w:fill="F7FBFE"/>
          </w:tcPr>
          <w:p>
            <w:pPr>
              <w:spacing w:after="0" w:line="240" w:lineRule="auto"/>
            </w:pPr>
            <w:r/>
            <w:r>
              <w:rPr>
                <w:rFonts w:ascii="Aptos" w:hAnsi="Aptos"/>
                <w:b w:val="0"/>
                <w:sz w:val="15"/>
              </w:rPr>
              <w:t>Read-only prices, volumes, sectors, benchmarks, valuation metrics, filings, news, and macro signals.</w:t>
            </w:r>
          </w:p>
        </w:tc>
        <w:tc>
          <w:tcPr>
            <w:tcW w:type="dxa" w:w="3427"/>
            <w:vAlign w:val="top"/>
            <w:shd w:fill="F7FBFE"/>
          </w:tcPr>
          <w:p>
            <w:pPr>
              <w:spacing w:after="0" w:line="240" w:lineRule="auto"/>
            </w:pPr>
            <w:r/>
            <w:r>
              <w:rPr>
                <w:rFonts w:ascii="Aptos" w:hAnsi="Aptos"/>
                <w:b w:val="0"/>
                <w:sz w:val="15"/>
              </w:rPr>
              <w:t>Brokerage execution, automated trading, portfolio custody, or performance guarantees.</w:t>
            </w:r>
          </w:p>
        </w:tc>
      </w:tr>
      <w:tr>
        <w:trPr>
          <w:cantSplit/>
        </w:trPr>
        <w:tc>
          <w:tcPr>
            <w:tcW w:type="dxa" w:w="3427"/>
            <w:vAlign w:val="top"/>
          </w:tcPr>
          <w:p>
            <w:pPr>
              <w:spacing w:after="0" w:line="240" w:lineRule="auto"/>
            </w:pPr>
            <w:r/>
            <w:r>
              <w:rPr>
                <w:rFonts w:ascii="Aptos" w:hAnsi="Aptos"/>
                <w:b w:val="0"/>
                <w:sz w:val="15"/>
              </w:rPr>
              <w:t>Technology Data</w:t>
            </w:r>
          </w:p>
        </w:tc>
        <w:tc>
          <w:tcPr>
            <w:tcW w:type="dxa" w:w="3427"/>
            <w:vAlign w:val="top"/>
          </w:tcPr>
          <w:p>
            <w:pPr>
              <w:spacing w:after="0" w:line="240" w:lineRule="auto"/>
            </w:pPr>
            <w:r/>
            <w:r>
              <w:rPr>
                <w:rFonts w:ascii="Aptos" w:hAnsi="Aptos"/>
                <w:b w:val="0"/>
                <w:sz w:val="15"/>
              </w:rPr>
              <w:t>Read-only patents, papers, code repositories, technology announcements, standards, vendor docs, and market reports.</w:t>
            </w:r>
          </w:p>
        </w:tc>
        <w:tc>
          <w:tcPr>
            <w:tcW w:type="dxa" w:w="3427"/>
            <w:vAlign w:val="top"/>
          </w:tcPr>
          <w:p>
            <w:pPr>
              <w:spacing w:after="0" w:line="240" w:lineRule="auto"/>
            </w:pPr>
            <w:r/>
            <w:r>
              <w:rPr>
                <w:rFonts w:ascii="Aptos" w:hAnsi="Aptos"/>
                <w:b w:val="0"/>
                <w:sz w:val="15"/>
              </w:rPr>
              <w:t>Unsupported invention claims, unverified technical assertions, or fabricated sources.</w:t>
            </w:r>
          </w:p>
        </w:tc>
      </w:tr>
      <w:tr>
        <w:trPr>
          <w:cantSplit/>
        </w:trPr>
        <w:tc>
          <w:tcPr>
            <w:tcW w:type="dxa" w:w="3427"/>
            <w:vAlign w:val="top"/>
            <w:shd w:fill="F7FBFE"/>
          </w:tcPr>
          <w:p>
            <w:pPr>
              <w:spacing w:after="0" w:line="240" w:lineRule="auto"/>
            </w:pPr>
            <w:r/>
            <w:r>
              <w:rPr>
                <w:rFonts w:ascii="Aptos" w:hAnsi="Aptos"/>
                <w:b w:val="0"/>
                <w:sz w:val="15"/>
              </w:rPr>
              <w:t>Evidence Handling</w:t>
            </w:r>
          </w:p>
        </w:tc>
        <w:tc>
          <w:tcPr>
            <w:tcW w:type="dxa" w:w="3427"/>
            <w:vAlign w:val="top"/>
            <w:shd w:fill="F7FBFE"/>
          </w:tcPr>
          <w:p>
            <w:pPr>
              <w:spacing w:after="0" w:line="240" w:lineRule="auto"/>
            </w:pPr>
            <w:r/>
            <w:r>
              <w:rPr>
                <w:rFonts w:ascii="Aptos" w:hAnsi="Aptos"/>
                <w:b w:val="0"/>
                <w:sz w:val="15"/>
              </w:rPr>
              <w:t>Timestamped source records, credibility scores, evidence baskets, traceable outputs.</w:t>
            </w:r>
          </w:p>
        </w:tc>
        <w:tc>
          <w:tcPr>
            <w:tcW w:type="dxa" w:w="3427"/>
            <w:vAlign w:val="top"/>
            <w:shd w:fill="F7FBFE"/>
          </w:tcPr>
          <w:p>
            <w:pPr>
              <w:spacing w:after="0" w:line="240" w:lineRule="auto"/>
            </w:pPr>
            <w:r/>
            <w:r>
              <w:rPr>
                <w:rFonts w:ascii="Aptos" w:hAnsi="Aptos"/>
                <w:b w:val="0"/>
                <w:sz w:val="15"/>
              </w:rPr>
              <w:t>Untraceable conclusions or generic recommendation text.</w:t>
            </w:r>
          </w:p>
        </w:tc>
      </w:tr>
      <w:tr>
        <w:trPr>
          <w:cantSplit/>
        </w:trPr>
        <w:tc>
          <w:tcPr>
            <w:tcW w:type="dxa" w:w="3427"/>
            <w:vAlign w:val="top"/>
          </w:tcPr>
          <w:p>
            <w:pPr>
              <w:spacing w:after="0" w:line="240" w:lineRule="auto"/>
            </w:pPr>
            <w:r/>
            <w:r>
              <w:rPr>
                <w:rFonts w:ascii="Aptos" w:hAnsi="Aptos"/>
                <w:b w:val="0"/>
                <w:sz w:val="15"/>
              </w:rPr>
              <w:t>Lifecycle Integration</w:t>
            </w:r>
          </w:p>
        </w:tc>
        <w:tc>
          <w:tcPr>
            <w:tcW w:type="dxa" w:w="3427"/>
            <w:vAlign w:val="top"/>
          </w:tcPr>
          <w:p>
            <w:pPr>
              <w:spacing w:after="0" w:line="240" w:lineRule="auto"/>
            </w:pPr>
            <w:r/>
            <w:r>
              <w:rPr>
                <w:rFonts w:ascii="Aptos" w:hAnsi="Aptos"/>
                <w:b w:val="0"/>
                <w:sz w:val="15"/>
              </w:rPr>
              <w:t>Data feeds Stage 1-4 and then routes through normal lifecycle logic.</w:t>
            </w:r>
          </w:p>
        </w:tc>
        <w:tc>
          <w:tcPr>
            <w:tcW w:type="dxa" w:w="3427"/>
            <w:vAlign w:val="top"/>
          </w:tcPr>
          <w:p>
            <w:pPr>
              <w:spacing w:after="0" w:line="240" w:lineRule="auto"/>
            </w:pPr>
            <w:r/>
            <w:r>
              <w:rPr>
                <w:rFonts w:ascii="Aptos" w:hAnsi="Aptos"/>
                <w:b w:val="0"/>
                <w:sz w:val="15"/>
              </w:rPr>
              <w:t>Separate side-engine that bypasses lifecycle or stage contracts.</w:t>
            </w:r>
          </w:p>
        </w:tc>
      </w:tr>
    </w:tbl>
    <w:p/>
    <w:p>
      <w:pPr>
        <w:pStyle w:val="Heading1"/>
      </w:pPr>
      <w:r>
        <w:t>7. Proof Binder Structure</w:t>
      </w:r>
    </w:p>
    <w:p>
      <w:r>
        <w:t>The proof binder should show that Claire can produce validated outputs across both major proof routes.</w:t>
      </w:r>
    </w:p>
    <w:p>
      <w:pPr>
        <w:pStyle w:val="ListNumber"/>
      </w:pPr>
      <w:r>
        <w:t>Executive Summary - What was proven and why it matters.</w:t>
      </w:r>
    </w:p>
    <w:p>
      <w:pPr>
        <w:pStyle w:val="ListNumber"/>
      </w:pPr>
      <w:r>
        <w:t>Locked Build Plan Attachment - Evidence that the lifecycle, versioning, and preservation rules are fixed.</w:t>
      </w:r>
    </w:p>
    <w:p>
      <w:pPr>
        <w:pStyle w:val="ListNumber"/>
      </w:pPr>
      <w:r>
        <w:t>System Proof Summary - Folder resolved, app verified, runtime status, dashboard/API evidence.</w:t>
      </w:r>
    </w:p>
    <w:p>
      <w:pPr>
        <w:pStyle w:val="ListNumber"/>
      </w:pPr>
      <w:r>
        <w:t>Portfolio Route Proof - Input data, lifecycle run, output, validation report, evidence basket, downloadable portfolio export.</w:t>
      </w:r>
    </w:p>
    <w:p>
      <w:pPr>
        <w:pStyle w:val="ListNumber"/>
      </w:pPr>
      <w:r>
        <w:t>Technology Route Proof - Opportunity signals, lifecycle run, design/pathway output, feasibility validation, evidence basket.</w:t>
      </w:r>
    </w:p>
    <w:p>
      <w:pPr>
        <w:pStyle w:val="ListNumber"/>
      </w:pPr>
      <w:r>
        <w:t>Independent Verification Notes - Spreadsheet checks, source checks, technical review notes, limitations.</w:t>
      </w:r>
    </w:p>
    <w:p>
      <w:pPr>
        <w:pStyle w:val="ListNumber"/>
      </w:pPr>
      <w:r>
        <w:t>Appendix - Raw JSON outputs, screenshots, exported files, source manifests, run logs.</w:t>
      </w:r>
    </w:p>
    <w:p>
      <w:pPr>
        <w:pStyle w:val="Heading1"/>
      </w:pPr>
      <w:r>
        <w:t>8. Versioning Alignment</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top"/>
            <w:shd w:fill="1F4E79"/>
          </w:tcPr>
          <w:p>
            <w:pPr>
              <w:spacing w:after="0" w:line="240" w:lineRule="auto"/>
            </w:pPr>
            <w:r/>
            <w:r>
              <w:rPr>
                <w:rFonts w:ascii="Aptos" w:hAnsi="Aptos"/>
                <w:b/>
                <w:color w:val="FFFFFF"/>
                <w:sz w:val="16"/>
              </w:rPr>
              <w:t>Version / Track</w:t>
            </w:r>
          </w:p>
        </w:tc>
        <w:tc>
          <w:tcPr>
            <w:tcW w:type="dxa" w:w="5141"/>
            <w:vAlign w:val="top"/>
            <w:shd w:fill="1F4E79"/>
          </w:tcPr>
          <w:p>
            <w:pPr>
              <w:spacing w:after="0" w:line="240" w:lineRule="auto"/>
            </w:pPr>
            <w:r/>
            <w:r>
              <w:rPr>
                <w:rFonts w:ascii="Aptos" w:hAnsi="Aptos"/>
                <w:b/>
                <w:color w:val="FFFFFF"/>
                <w:sz w:val="16"/>
              </w:rPr>
              <w:t>Role in Proof Phase</w:t>
            </w:r>
          </w:p>
        </w:tc>
      </w:tr>
      <w:tr>
        <w:trPr>
          <w:cantSplit/>
        </w:trPr>
        <w:tc>
          <w:tcPr>
            <w:tcW w:type="dxa" w:w="5141"/>
            <w:vAlign w:val="top"/>
            <w:shd w:fill="F7FBFE"/>
          </w:tcPr>
          <w:p>
            <w:pPr>
              <w:spacing w:after="0" w:line="240" w:lineRule="auto"/>
            </w:pPr>
            <w:r/>
            <w:r>
              <w:rPr>
                <w:rFonts w:ascii="Aptos" w:hAnsi="Aptos"/>
                <w:b w:val="0"/>
                <w:sz w:val="15"/>
              </w:rPr>
              <w:t>v5.90.2 Locked Core</w:t>
            </w:r>
          </w:p>
        </w:tc>
        <w:tc>
          <w:tcPr>
            <w:tcW w:type="dxa" w:w="5141"/>
            <w:vAlign w:val="top"/>
            <w:shd w:fill="F7FBFE"/>
          </w:tcPr>
          <w:p>
            <w:pPr>
              <w:spacing w:after="0" w:line="240" w:lineRule="auto"/>
            </w:pPr>
            <w:r/>
            <w:r>
              <w:rPr>
                <w:rFonts w:ascii="Aptos" w:hAnsi="Aptos"/>
                <w:b w:val="0"/>
                <w:sz w:val="15"/>
              </w:rPr>
              <w:t>Preserve architecture, lifecycle, routing, output contract, and existing validated behavior.</w:t>
            </w:r>
          </w:p>
        </w:tc>
      </w:tr>
      <w:tr>
        <w:trPr>
          <w:cantSplit/>
        </w:trPr>
        <w:tc>
          <w:tcPr>
            <w:tcW w:type="dxa" w:w="5141"/>
            <w:vAlign w:val="top"/>
          </w:tcPr>
          <w:p>
            <w:pPr>
              <w:spacing w:after="0" w:line="240" w:lineRule="auto"/>
            </w:pPr>
            <w:r/>
            <w:r>
              <w:rPr>
                <w:rFonts w:ascii="Aptos" w:hAnsi="Aptos"/>
                <w:b w:val="0"/>
                <w:sz w:val="15"/>
              </w:rPr>
              <w:t>v5.90.3 Evidence / Traceability Preparation</w:t>
            </w:r>
          </w:p>
        </w:tc>
        <w:tc>
          <w:tcPr>
            <w:tcW w:type="dxa" w:w="5141"/>
            <w:vAlign w:val="top"/>
          </w:tcPr>
          <w:p>
            <w:pPr>
              <w:spacing w:after="0" w:line="240" w:lineRule="auto"/>
            </w:pPr>
            <w:r/>
            <w:r>
              <w:rPr>
                <w:rFonts w:ascii="Aptos" w:hAnsi="Aptos"/>
                <w:b w:val="0"/>
                <w:sz w:val="15"/>
              </w:rPr>
              <w:t>Attach evidence more clearly to route outputs and validation reports.</w:t>
            </w:r>
          </w:p>
        </w:tc>
      </w:tr>
      <w:tr>
        <w:trPr>
          <w:cantSplit/>
        </w:trPr>
        <w:tc>
          <w:tcPr>
            <w:tcW w:type="dxa" w:w="5141"/>
            <w:vAlign w:val="top"/>
            <w:shd w:fill="F7FBFE"/>
          </w:tcPr>
          <w:p>
            <w:pPr>
              <w:spacing w:after="0" w:line="240" w:lineRule="auto"/>
            </w:pPr>
            <w:r/>
            <w:r>
              <w:rPr>
                <w:rFonts w:ascii="Aptos" w:hAnsi="Aptos"/>
                <w:b w:val="0"/>
                <w:sz w:val="15"/>
              </w:rPr>
              <w:t>v6.0 Controlled Live Data Ingestion Pilot</w:t>
            </w:r>
          </w:p>
        </w:tc>
        <w:tc>
          <w:tcPr>
            <w:tcW w:type="dxa" w:w="5141"/>
            <w:vAlign w:val="top"/>
            <w:shd w:fill="F7FBFE"/>
          </w:tcPr>
          <w:p>
            <w:pPr>
              <w:spacing w:after="0" w:line="240" w:lineRule="auto"/>
            </w:pPr>
            <w:r/>
            <w:r>
              <w:rPr>
                <w:rFonts w:ascii="Aptos" w:hAnsi="Aptos"/>
                <w:b w:val="0"/>
                <w:sz w:val="15"/>
              </w:rPr>
              <w:t>Introduce read-only live data ingestion for proof runs only.</w:t>
            </w:r>
          </w:p>
        </w:tc>
      </w:tr>
      <w:tr>
        <w:trPr>
          <w:cantSplit/>
        </w:trPr>
        <w:tc>
          <w:tcPr>
            <w:tcW w:type="dxa" w:w="5141"/>
            <w:vAlign w:val="top"/>
          </w:tcPr>
          <w:p>
            <w:pPr>
              <w:spacing w:after="0" w:line="240" w:lineRule="auto"/>
            </w:pPr>
            <w:r/>
            <w:r>
              <w:rPr>
                <w:rFonts w:ascii="Aptos" w:hAnsi="Aptos"/>
                <w:b w:val="0"/>
                <w:sz w:val="15"/>
              </w:rPr>
              <w:t>Proof Binder Milestone</w:t>
            </w:r>
          </w:p>
        </w:tc>
        <w:tc>
          <w:tcPr>
            <w:tcW w:type="dxa" w:w="5141"/>
            <w:vAlign w:val="top"/>
          </w:tcPr>
          <w:p>
            <w:pPr>
              <w:spacing w:after="0" w:line="240" w:lineRule="auto"/>
            </w:pPr>
            <w:r/>
            <w:r>
              <w:rPr>
                <w:rFonts w:ascii="Aptos" w:hAnsi="Aptos"/>
                <w:b w:val="0"/>
                <w:sz w:val="15"/>
              </w:rPr>
              <w:t>Demonstrate that Claire can generate verifiable portfolio and technology outputs from real-world data.</w:t>
            </w:r>
          </w:p>
        </w:tc>
      </w:tr>
    </w:tbl>
    <w:p/>
    <w:p>
      <w:pPr>
        <w:pStyle w:val="Heading1"/>
      </w:pPr>
      <w:r>
        <w:t>9. Anti-Drift Guardrails</w:t>
      </w:r>
    </w:p>
    <w:p>
      <w:pPr>
        <w:pStyle w:val="ListBullet"/>
      </w:pPr>
      <w:r>
        <w:t>Do not create separate portfolio or technology products during this phase.</w:t>
      </w:r>
    </w:p>
    <w:p>
      <w:pPr>
        <w:pStyle w:val="ListBullet"/>
      </w:pPr>
      <w:r>
        <w:t>Do not bypass the 30-stage lifecycle or route-selection logic.</w:t>
      </w:r>
    </w:p>
    <w:p>
      <w:pPr>
        <w:pStyle w:val="ListBullet"/>
      </w:pPr>
      <w:r>
        <w:t>Do not redesign the dashboard unless required only to display existing lifecycle outputs.</w:t>
      </w:r>
    </w:p>
    <w:p>
      <w:pPr>
        <w:pStyle w:val="ListBullet"/>
      </w:pPr>
      <w:r>
        <w:t>Do not add brokerage execution, trading automation, or claims of guaranteed performance.</w:t>
      </w:r>
    </w:p>
    <w:p>
      <w:pPr>
        <w:pStyle w:val="ListBullet"/>
      </w:pPr>
      <w:r>
        <w:t>Do not let live data ingestion modify the output contract without explicit versioned approval.</w:t>
      </w:r>
    </w:p>
    <w:p>
      <w:pPr>
        <w:pStyle w:val="ListBullet"/>
      </w:pPr>
      <w:r>
        <w:t>Do not treat technology proof as invention-first; it must remain route-selected and evidence-backed.</w:t>
      </w:r>
    </w:p>
    <w:p>
      <w:pPr>
        <w:pStyle w:val="ListBullet"/>
      </w:pPr>
      <w:r>
        <w:t>Every proof output must be exportable, traceable, and independently reviewable.</w:t>
      </w:r>
    </w:p>
    <w:p>
      <w:pPr>
        <w:pStyle w:val="Heading1"/>
      </w:pPr>
      <w:r>
        <w:t>10. 30-60-90 Day Execution Plan</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top"/>
            <w:shd w:fill="1F4E79"/>
          </w:tcPr>
          <w:p>
            <w:pPr>
              <w:spacing w:after="0" w:line="240" w:lineRule="auto"/>
            </w:pPr>
            <w:r/>
            <w:r>
              <w:rPr>
                <w:rFonts w:ascii="Aptos" w:hAnsi="Aptos"/>
                <w:b/>
                <w:color w:val="FFFFFF"/>
                <w:sz w:val="16"/>
              </w:rPr>
              <w:t>Window</w:t>
            </w:r>
          </w:p>
        </w:tc>
        <w:tc>
          <w:tcPr>
            <w:tcW w:type="dxa" w:w="3427"/>
            <w:vAlign w:val="top"/>
            <w:shd w:fill="1F4E79"/>
          </w:tcPr>
          <w:p>
            <w:pPr>
              <w:spacing w:after="0" w:line="240" w:lineRule="auto"/>
            </w:pPr>
            <w:r/>
            <w:r>
              <w:rPr>
                <w:rFonts w:ascii="Aptos" w:hAnsi="Aptos"/>
                <w:b/>
                <w:color w:val="FFFFFF"/>
                <w:sz w:val="16"/>
              </w:rPr>
              <w:t>Objective</w:t>
            </w:r>
          </w:p>
        </w:tc>
        <w:tc>
          <w:tcPr>
            <w:tcW w:type="dxa" w:w="3427"/>
            <w:vAlign w:val="top"/>
            <w:shd w:fill="1F4E79"/>
          </w:tcPr>
          <w:p>
            <w:pPr>
              <w:spacing w:after="0" w:line="240" w:lineRule="auto"/>
            </w:pPr>
            <w:r/>
            <w:r>
              <w:rPr>
                <w:rFonts w:ascii="Aptos" w:hAnsi="Aptos"/>
                <w:b/>
                <w:color w:val="FFFFFF"/>
                <w:sz w:val="16"/>
              </w:rPr>
              <w:t>Deliverables</w:t>
            </w:r>
          </w:p>
        </w:tc>
      </w:tr>
      <w:tr>
        <w:trPr>
          <w:cantSplit/>
        </w:trPr>
        <w:tc>
          <w:tcPr>
            <w:tcW w:type="dxa" w:w="3427"/>
            <w:vAlign w:val="top"/>
            <w:shd w:fill="F7FBFE"/>
          </w:tcPr>
          <w:p>
            <w:pPr>
              <w:spacing w:after="0" w:line="240" w:lineRule="auto"/>
            </w:pPr>
            <w:r/>
            <w:r>
              <w:rPr>
                <w:rFonts w:ascii="Aptos" w:hAnsi="Aptos"/>
                <w:b w:val="0"/>
                <w:sz w:val="15"/>
              </w:rPr>
              <w:t>Days 1-30</w:t>
            </w:r>
          </w:p>
        </w:tc>
        <w:tc>
          <w:tcPr>
            <w:tcW w:type="dxa" w:w="3427"/>
            <w:vAlign w:val="top"/>
            <w:shd w:fill="F7FBFE"/>
          </w:tcPr>
          <w:p>
            <w:pPr>
              <w:spacing w:after="0" w:line="240" w:lineRule="auto"/>
            </w:pPr>
            <w:r/>
            <w:r>
              <w:rPr>
                <w:rFonts w:ascii="Aptos" w:hAnsi="Aptos"/>
                <w:b w:val="0"/>
                <w:sz w:val="15"/>
              </w:rPr>
              <w:t>Stabilize proof inputs and output formats.</w:t>
            </w:r>
          </w:p>
        </w:tc>
        <w:tc>
          <w:tcPr>
            <w:tcW w:type="dxa" w:w="3427"/>
            <w:vAlign w:val="top"/>
            <w:shd w:fill="F7FBFE"/>
          </w:tcPr>
          <w:p>
            <w:pPr>
              <w:spacing w:after="0" w:line="240" w:lineRule="auto"/>
            </w:pPr>
            <w:r/>
            <w:r>
              <w:rPr>
                <w:rFonts w:ascii="Aptos" w:hAnsi="Aptos"/>
                <w:b w:val="0"/>
                <w:sz w:val="15"/>
              </w:rPr>
              <w:t>Live data source shortlist; portfolio and technology proof templates; validation checklists; evidence basket structure.</w:t>
            </w:r>
          </w:p>
        </w:tc>
      </w:tr>
      <w:tr>
        <w:trPr>
          <w:cantSplit/>
        </w:trPr>
        <w:tc>
          <w:tcPr>
            <w:tcW w:type="dxa" w:w="3427"/>
            <w:vAlign w:val="top"/>
          </w:tcPr>
          <w:p>
            <w:pPr>
              <w:spacing w:after="0" w:line="240" w:lineRule="auto"/>
            </w:pPr>
            <w:r/>
            <w:r>
              <w:rPr>
                <w:rFonts w:ascii="Aptos" w:hAnsi="Aptos"/>
                <w:b w:val="0"/>
                <w:sz w:val="15"/>
              </w:rPr>
              <w:t>Days 31-60</w:t>
            </w:r>
          </w:p>
        </w:tc>
        <w:tc>
          <w:tcPr>
            <w:tcW w:type="dxa" w:w="3427"/>
            <w:vAlign w:val="top"/>
          </w:tcPr>
          <w:p>
            <w:pPr>
              <w:spacing w:after="0" w:line="240" w:lineRule="auto"/>
            </w:pPr>
            <w:r/>
            <w:r>
              <w:rPr>
                <w:rFonts w:ascii="Aptos" w:hAnsi="Aptos"/>
                <w:b w:val="0"/>
                <w:sz w:val="15"/>
              </w:rPr>
              <w:t>Run first proof outputs and validate.</w:t>
            </w:r>
          </w:p>
        </w:tc>
        <w:tc>
          <w:tcPr>
            <w:tcW w:type="dxa" w:w="3427"/>
            <w:vAlign w:val="top"/>
          </w:tcPr>
          <w:p>
            <w:pPr>
              <w:spacing w:after="0" w:line="240" w:lineRule="auto"/>
            </w:pPr>
            <w:r/>
            <w:r>
              <w:rPr>
                <w:rFonts w:ascii="Aptos" w:hAnsi="Aptos"/>
                <w:b w:val="0"/>
                <w:sz w:val="15"/>
              </w:rPr>
              <w:t>One generated portfolio output; one generated technology pathway output; validation reports; raw exports; screenshots.</w:t>
            </w:r>
          </w:p>
        </w:tc>
      </w:tr>
      <w:tr>
        <w:trPr>
          <w:cantSplit/>
        </w:trPr>
        <w:tc>
          <w:tcPr>
            <w:tcW w:type="dxa" w:w="3427"/>
            <w:vAlign w:val="top"/>
            <w:shd w:fill="F7FBFE"/>
          </w:tcPr>
          <w:p>
            <w:pPr>
              <w:spacing w:after="0" w:line="240" w:lineRule="auto"/>
            </w:pPr>
            <w:r/>
            <w:r>
              <w:rPr>
                <w:rFonts w:ascii="Aptos" w:hAnsi="Aptos"/>
                <w:b w:val="0"/>
                <w:sz w:val="15"/>
              </w:rPr>
              <w:t>Days 61-90</w:t>
            </w:r>
          </w:p>
        </w:tc>
        <w:tc>
          <w:tcPr>
            <w:tcW w:type="dxa" w:w="3427"/>
            <w:vAlign w:val="top"/>
            <w:shd w:fill="F7FBFE"/>
          </w:tcPr>
          <w:p>
            <w:pPr>
              <w:spacing w:after="0" w:line="240" w:lineRule="auto"/>
            </w:pPr>
            <w:r/>
            <w:r>
              <w:rPr>
                <w:rFonts w:ascii="Aptos" w:hAnsi="Aptos"/>
                <w:b w:val="0"/>
                <w:sz w:val="15"/>
              </w:rPr>
              <w:t>Assemble proof binder and capital packet.</w:t>
            </w:r>
          </w:p>
        </w:tc>
        <w:tc>
          <w:tcPr>
            <w:tcW w:type="dxa" w:w="3427"/>
            <w:vAlign w:val="top"/>
            <w:shd w:fill="F7FBFE"/>
          </w:tcPr>
          <w:p>
            <w:pPr>
              <w:spacing w:after="0" w:line="240" w:lineRule="auto"/>
            </w:pPr>
            <w:r/>
            <w:r>
              <w:rPr>
                <w:rFonts w:ascii="Aptos" w:hAnsi="Aptos"/>
                <w:b w:val="0"/>
                <w:sz w:val="15"/>
              </w:rPr>
              <w:t>Proof binder; demo flow; use-of-funds plan; IP strategy outline; first pilot/customer target list.</w:t>
            </w:r>
          </w:p>
        </w:tc>
      </w:tr>
    </w:tbl>
    <w:p/>
    <w:p>
      <w:pPr>
        <w:pStyle w:val="Heading1"/>
      </w:pPr>
      <w:r>
        <w:t>11. Final Success Definition</w:t>
      </w:r>
    </w:p>
    <w:p>
      <w:r>
        <w:t>The Verified Output Proof Phase is complete when Claire can run on real-world data, select the correct route, produce a portfolio output and a technology/design pathway output, and have both outputs withstand industry-standard verification procedures.</w:t>
      </w:r>
    </w:p>
    <w:p>
      <w:r>
        <w:t>The proof phase is not complete merely because the system produces files. It is complete only when the outputs check out: mathematically, technically, market-wise, evidentially, and procedurally.</w:t>
      </w:r>
    </w:p>
    <w:tbl>
      <w:tblPr>
        <w:tblStyle w:val="TableGrid"/>
        <w:tblW w:type="auto" w:w="0"/>
        <w:jc w:val="center"/>
        <w:tblLook w:firstColumn="1" w:firstRow="1" w:lastColumn="0" w:lastRow="0" w:noHBand="0" w:noVBand="1" w:val="04A0"/>
      </w:tblPr>
      <w:tblGrid>
        <w:gridCol w:w="10282"/>
      </w:tblGrid>
      <w:tr>
        <w:trPr>
          <w:cantSplit/>
        </w:trPr>
        <w:tc>
          <w:tcPr>
            <w:tcW w:type="dxa" w:w="10282"/>
            <w:shd w:fill="EAF2F8"/>
            <w:vAlign w:val="top"/>
          </w:tcPr>
          <w:p>
            <w:pPr>
              <w:spacing w:after="0" w:line="240" w:lineRule="auto"/>
            </w:pPr>
            <w:r/>
            <w:r>
              <w:rPr>
                <w:rFonts w:ascii="Aptos" w:hAnsi="Aptos"/>
                <w:b/>
                <w:color w:val="1F4E79"/>
                <w:sz w:val="19"/>
              </w:rPr>
              <w:t>Final Lock: Claire is proving a governed lifecycle system, not launching detached tools. Portfolio and technology outputs are proof cases generated by the same locked system.</w:t>
            </w:r>
          </w:p>
        </w:tc>
      </w:tr>
    </w:tbl>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