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rFonts w:ascii="Calibri" w:cs="Calibri" w:eastAsia="Calibri" w:hAnsi="Calibri"/>
          <w:b w:val="1"/>
          <w:bCs w:val="1"/>
          <w:sz w:val="10"/>
          <w:szCs w:val="10"/>
        </w:rPr>
      </w:pPr>
      <w:r w:rsidDel="00000000" w:rsidR="00000000" w:rsidRPr="00000000">
        <w:rPr>
          <w:rtl w:val="0"/>
        </w:rPr>
      </w:r>
    </w:p>
    <w:p w:rsidR="00000000" w:rsidDel="00000000" w:rsidP="00000000" w:rsidRDefault="00000000" w:rsidRPr="00000000" w14:paraId="00000002">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6"/>
          <w:szCs w:val="26"/>
          <w:rtl w:val="0"/>
        </w:rPr>
        <w:t xml:space="preserve">What is the Professionals Platform?</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sz w:val="24"/>
          <w:szCs w:val="24"/>
          <w:rtl w:val="0"/>
        </w:rPr>
        <w:t xml:space="preserve">The Professionals Platform is an independent initiative that brings together professionals and individuals in recovery to explore how workplaces and institutions can better identify and support those who may benefit from recovery resources.</w:t>
      </w:r>
    </w:p>
    <w:p w:rsidR="00000000" w:rsidDel="00000000" w:rsidP="00000000" w:rsidRDefault="00000000" w:rsidRPr="00000000" w14:paraId="00000003">
      <w:pPr>
        <w:spacing w:line="240" w:lineRule="auto"/>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1"/>
          <w:bCs w:val="1"/>
          <w:sz w:val="26"/>
          <w:szCs w:val="26"/>
          <w:rtl w:val="0"/>
        </w:rPr>
        <w:t xml:space="preserve">Is the Professionals Platform part of or affiliated with Alcoholics Anonymous (A.A.) or its service committees?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The Professionals Platform is independent and is not affiliated with Alcoholics Anonymous (A.A.), nor with any Area, District, or service committee.</w:t>
      </w:r>
    </w:p>
    <w:p w:rsidR="00000000" w:rsidDel="00000000" w:rsidP="00000000" w:rsidRDefault="00000000" w:rsidRPr="00000000" w14:paraId="00000004">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6"/>
          <w:szCs w:val="26"/>
          <w:rtl w:val="0"/>
        </w:rPr>
        <w:t xml:space="preserve">Can A.A. members participate?</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sz w:val="24"/>
          <w:szCs w:val="24"/>
          <w:rtl w:val="0"/>
        </w:rPr>
        <w:t xml:space="preserve">Yes.  A.A. members may participate in a personal or professional capacity. Participation is voluntary and outside of the A.A. service structure.</w:t>
      </w:r>
    </w:p>
    <w:p w:rsidR="00000000" w:rsidDel="00000000" w:rsidP="00000000" w:rsidRDefault="00000000" w:rsidRPr="00000000" w14:paraId="00000005">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6"/>
          <w:szCs w:val="26"/>
          <w:rtl w:val="0"/>
        </w:rPr>
        <w:t xml:space="preserve">Who is the intended audience?</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sz w:val="24"/>
          <w:szCs w:val="24"/>
          <w:rtl w:val="0"/>
        </w:rPr>
        <w:t xml:space="preserve">The Professionals Platform is designed for professionals across sectors who may encounter individuals affected by Alcohol Use Disorder (AUD), including:</w:t>
      </w:r>
    </w:p>
    <w:p w:rsidR="00000000" w:rsidDel="00000000" w:rsidP="00000000" w:rsidRDefault="00000000" w:rsidRPr="00000000" w14:paraId="00000006">
      <w:pPr>
        <w:numPr>
          <w:ilvl w:val="0"/>
          <w:numId w:val="1"/>
        </w:numPr>
        <w:spacing w:after="0" w:before="28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Workplace &amp; Organizational Leaders</w:t>
      </w:r>
      <w:r w:rsidDel="00000000" w:rsidR="00000000" w:rsidRPr="00000000">
        <w:rPr>
          <w:rFonts w:ascii="Calibri" w:cs="Calibri" w:eastAsia="Calibri" w:hAnsi="Calibri"/>
          <w:sz w:val="24"/>
          <w:szCs w:val="24"/>
          <w:rtl w:val="0"/>
        </w:rPr>
        <w:t xml:space="preserve"> — human resources professionals, Employee Assistance Program (EAP) providers, and C-suite leaders, directors, and managers </w:t>
      </w:r>
    </w:p>
    <w:p w:rsidR="00000000" w:rsidDel="00000000" w:rsidP="00000000" w:rsidRDefault="00000000" w:rsidRPr="00000000" w14:paraId="00000007">
      <w:pPr>
        <w:numPr>
          <w:ilvl w:val="0"/>
          <w:numId w:val="1"/>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Healthcare &amp; Behavioral Health</w:t>
      </w:r>
      <w:r w:rsidDel="00000000" w:rsidR="00000000" w:rsidRPr="00000000">
        <w:rPr>
          <w:rFonts w:ascii="Calibri" w:cs="Calibri" w:eastAsia="Calibri" w:hAnsi="Calibri"/>
          <w:sz w:val="24"/>
          <w:szCs w:val="24"/>
          <w:rtl w:val="0"/>
        </w:rPr>
        <w:t xml:space="preserve"> — healthcare providers, behavioral health practitioners, and social workers </w:t>
      </w:r>
    </w:p>
    <w:p w:rsidR="00000000" w:rsidDel="00000000" w:rsidP="00000000" w:rsidRDefault="00000000" w:rsidRPr="00000000" w14:paraId="00000008">
      <w:pPr>
        <w:numPr>
          <w:ilvl w:val="0"/>
          <w:numId w:val="1"/>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Public Safety &amp; First Response</w:t>
      </w:r>
      <w:r w:rsidDel="00000000" w:rsidR="00000000" w:rsidRPr="00000000">
        <w:rPr>
          <w:rFonts w:ascii="Calibri" w:cs="Calibri" w:eastAsia="Calibri" w:hAnsi="Calibri"/>
          <w:sz w:val="24"/>
          <w:szCs w:val="24"/>
          <w:rtl w:val="0"/>
        </w:rPr>
        <w:t xml:space="preserve"> — fire, police, and other frontline professionals </w:t>
      </w:r>
    </w:p>
    <w:p w:rsidR="00000000" w:rsidDel="00000000" w:rsidP="00000000" w:rsidRDefault="00000000" w:rsidRPr="00000000" w14:paraId="00000009">
      <w:pPr>
        <w:numPr>
          <w:ilvl w:val="0"/>
          <w:numId w:val="1"/>
        </w:numPr>
        <w:spacing w:after="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Legal &amp; Justice Systems</w:t>
      </w:r>
      <w:r w:rsidDel="00000000" w:rsidR="00000000" w:rsidRPr="00000000">
        <w:rPr>
          <w:rFonts w:ascii="Calibri" w:cs="Calibri" w:eastAsia="Calibri" w:hAnsi="Calibri"/>
          <w:sz w:val="24"/>
          <w:szCs w:val="24"/>
          <w:rtl w:val="0"/>
        </w:rPr>
        <w:t xml:space="preserve"> — legal, judicial, corrections, probation, and reentry professionals </w:t>
      </w:r>
    </w:p>
    <w:p w:rsidR="00000000" w:rsidDel="00000000" w:rsidP="00000000" w:rsidRDefault="00000000" w:rsidRPr="00000000" w14:paraId="0000000A">
      <w:pPr>
        <w:numPr>
          <w:ilvl w:val="0"/>
          <w:numId w:val="1"/>
        </w:numPr>
        <w:spacing w:after="280" w:before="0" w:line="240" w:lineRule="auto"/>
        <w:ind w:left="720" w:hanging="360"/>
        <w:rPr>
          <w:rFonts w:ascii="Calibri" w:cs="Calibri" w:eastAsia="Calibri" w:hAnsi="Calibri"/>
          <w:sz w:val="24"/>
          <w:szCs w:val="24"/>
        </w:rPr>
      </w:pPr>
      <w:r w:rsidDel="00000000" w:rsidR="00000000" w:rsidRPr="00000000">
        <w:rPr>
          <w:rFonts w:ascii="Calibri" w:cs="Calibri" w:eastAsia="Calibri" w:hAnsi="Calibri"/>
          <w:b w:val="1"/>
          <w:bCs w:val="1"/>
          <w:sz w:val="24"/>
          <w:szCs w:val="24"/>
          <w:rtl w:val="0"/>
        </w:rPr>
        <w:t xml:space="preserve">Education &amp; Community Institutions</w:t>
      </w:r>
      <w:r w:rsidDel="00000000" w:rsidR="00000000" w:rsidRPr="00000000">
        <w:rPr>
          <w:rFonts w:ascii="Calibri" w:cs="Calibri" w:eastAsia="Calibri" w:hAnsi="Calibri"/>
          <w:sz w:val="24"/>
          <w:szCs w:val="24"/>
          <w:rtl w:val="0"/>
        </w:rPr>
        <w:t xml:space="preserve"> — university and higher education administrators, faculty, student support services, and nonprofit/community-based organization leaders</w:t>
      </w:r>
      <w:r w:rsidDel="00000000" w:rsidR="00000000" w:rsidRPr="00000000">
        <w:rPr>
          <w:rtl w:val="0"/>
        </w:rPr>
      </w:r>
    </w:p>
    <w:p w:rsidR="00000000" w:rsidDel="00000000" w:rsidP="00000000" w:rsidRDefault="00000000" w:rsidRPr="00000000" w14:paraId="0000000B">
      <w:pPr>
        <w:spacing w:line="240" w:lineRule="auto"/>
        <w:rPr>
          <w:rFonts w:ascii="Calibri" w:cs="Calibri" w:eastAsia="Calibri" w:hAnsi="Calibri"/>
          <w:sz w:val="24"/>
          <w:szCs w:val="24"/>
        </w:rPr>
      </w:pPr>
      <w:bookmarkStart w:colFirst="0" w:colLast="0" w:name="_heading=h.o2ig3uzoewy" w:id="0"/>
      <w:bookmarkEnd w:id="0"/>
      <w:r w:rsidDel="00000000" w:rsidR="00000000" w:rsidRPr="00000000">
        <w:rPr>
          <w:rFonts w:ascii="Calibri" w:cs="Calibri" w:eastAsia="Calibri" w:hAnsi="Calibri"/>
          <w:b w:val="1"/>
          <w:bCs w:val="1"/>
          <w:sz w:val="26"/>
          <w:szCs w:val="26"/>
          <w:rtl w:val="0"/>
        </w:rPr>
        <w:t xml:space="preserve">How are speakers selected?</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sz w:val="24"/>
          <w:szCs w:val="24"/>
          <w:rtl w:val="0"/>
        </w:rPr>
        <w:t xml:space="preserve">Speakers are invited based on their professional expertise and ability to contribute to cross-sector dialogue on recovery and workplace support.</w:t>
      </w:r>
    </w:p>
    <w:p w:rsidR="00000000" w:rsidDel="00000000" w:rsidP="00000000" w:rsidRDefault="00000000" w:rsidRPr="00000000" w14:paraId="0000000C">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6"/>
          <w:szCs w:val="26"/>
          <w:rtl w:val="0"/>
        </w:rPr>
        <w:t xml:space="preserve">Why does the Platform use clinical language such as “Alcohol Use Disorder (AUD)”?</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sz w:val="24"/>
          <w:szCs w:val="24"/>
          <w:rtl w:val="0"/>
        </w:rPr>
        <w:t xml:space="preserve">Clinical terminology is used to align with professional audiences and workplace environments. This does not replace or alter A.A.’s language, but reflects the context in which professionals operate.</w:t>
      </w:r>
    </w:p>
    <w:p w:rsidR="00000000" w:rsidDel="00000000" w:rsidP="00000000" w:rsidRDefault="00000000" w:rsidRPr="00000000" w14:paraId="0000000D">
      <w:pPr>
        <w:spacing w:line="240" w:lineRule="auto"/>
        <w:rPr>
          <w:rFonts w:ascii="Calibri" w:cs="Calibri" w:eastAsia="Calibri" w:hAnsi="Calibri"/>
          <w:sz w:val="24"/>
          <w:szCs w:val="24"/>
        </w:rPr>
      </w:pPr>
      <w:r w:rsidDel="00000000" w:rsidR="00000000" w:rsidRPr="00000000">
        <w:rPr>
          <w:rFonts w:ascii="Calibri" w:cs="Calibri" w:eastAsia="Calibri" w:hAnsi="Calibri"/>
          <w:b w:val="1"/>
          <w:bCs w:val="1"/>
          <w:sz w:val="26"/>
          <w:szCs w:val="26"/>
          <w:rtl w:val="0"/>
        </w:rPr>
        <w:t xml:space="preserve">Will the Platform seek funding or support?</w:t>
      </w:r>
      <w:r w:rsidDel="00000000" w:rsidR="00000000" w:rsidRPr="00000000">
        <w:rPr>
          <w:rFonts w:ascii="Calibri" w:cs="Calibri" w:eastAsia="Calibri" w:hAnsi="Calibri"/>
          <w:sz w:val="26"/>
          <w:szCs w:val="26"/>
          <w:rtl w:val="0"/>
        </w:rPr>
        <w:t xml:space="preserve"> </w:t>
      </w:r>
      <w:r w:rsidDel="00000000" w:rsidR="00000000" w:rsidRPr="00000000">
        <w:rPr>
          <w:rFonts w:ascii="Calibri" w:cs="Calibri" w:eastAsia="Calibri" w:hAnsi="Calibri"/>
          <w:sz w:val="24"/>
          <w:szCs w:val="24"/>
          <w:rtl w:val="0"/>
        </w:rPr>
        <w:t xml:space="preserve">Support may be sought to cover specific accessibility needs, such as interpretation, to ensure broader participation. Any such support is voluntary and does not imply affiliation with or endorsement by A.A. service entities.</w:t>
      </w:r>
    </w:p>
    <w:sectPr>
      <w:headerReference r:id="rId7" w:type="default"/>
      <w:footerReference r:id="rId8" w:type="default"/>
      <w:pgSz w:h="15840" w:w="12240" w:orient="portrait"/>
      <w:pgMar w:bottom="1080" w:top="187.2" w:left="1800" w:right="1800" w:header="720" w:footer="43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tabs>
        <w:tab w:val="center" w:leader="none" w:pos="4680"/>
        <w:tab w:val="right" w:leader="none" w:pos="9360"/>
      </w:tabs>
      <w:spacing w:line="240" w:lineRule="auto"/>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rPr>
      <w:drawing>
        <wp:inline distB="114300" distT="114300" distL="114300" distR="114300">
          <wp:extent cx="5486400" cy="215900"/>
          <wp:effectExtent b="0" l="0" r="0" t="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486400" cy="215900"/>
                  </a:xfrm>
                  <a:prstGeom prst="rect"/>
                  <a:ln/>
                </pic:spPr>
              </pic:pic>
            </a:graphicData>
          </a:graphic>
        </wp:inline>
      </w:drawing>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spacing w:line="240" w:lineRule="auto"/>
      <w:rPr/>
    </w:pPr>
    <w:r w:rsidDel="00000000" w:rsidR="00000000" w:rsidRPr="00000000">
      <w:rPr>
        <w:rFonts w:ascii="Calibri" w:cs="Calibri" w:eastAsia="Calibri" w:hAnsi="Calibri"/>
        <w:b w:val="1"/>
        <w:bCs w:val="1"/>
        <w:sz w:val="10"/>
        <w:szCs w:val="10"/>
      </w:rPr>
      <w:drawing>
        <wp:inline distB="114300" distT="114300" distL="114300" distR="114300">
          <wp:extent cx="5486400" cy="546100"/>
          <wp:effectExtent b="0" l="0" r="0" t="0"/>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486400" cy="54610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8IyeucW5Qvhi78gxD3m3yUmHmNA==">CgMxLjAyDWgubzJpZzN1em9ld3k4AHIhMVNjVGdGTk5qU1Z4WHQ5cUQxdVJXOU1aYXZaNUtLLTZC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