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Qu'est-ce que la « Professionals Platform » ? </w:t>
      </w:r>
      <w:r w:rsidDel="00000000" w:rsidR="00000000" w:rsidRPr="00000000">
        <w:rPr>
          <w:rFonts w:ascii="Calibri" w:cs="Calibri" w:eastAsia="Calibri" w:hAnsi="Calibri"/>
          <w:sz w:val="23"/>
          <w:szCs w:val="23"/>
          <w:rtl w:val="0"/>
        </w:rPr>
        <w:t xml:space="preserve">La « Professionals Platform » est une initiative indépendante qui rassemble des professionnels et des personnes en rétablissement afin d'étudier comment les lieux de travail et les institutions peuvent mieux identifier et soutenir celles et ceux qui pourraient bénéficier de ressources d'aide au rétablissement.</w:t>
      </w:r>
    </w:p>
    <w:p w:rsidR="00000000" w:rsidDel="00000000" w:rsidP="00000000" w:rsidRDefault="00000000" w:rsidRPr="00000000" w14:paraId="00000002">
      <w:pPr>
        <w:widowControl w:val="0"/>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03">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La « Professionals Platform » fait-elle partie des Alcooliques anonymes (AA) ou de ses comités de service, ou y est-elle affiliée ? </w:t>
      </w:r>
      <w:r w:rsidDel="00000000" w:rsidR="00000000" w:rsidRPr="00000000">
        <w:rPr>
          <w:rFonts w:ascii="Calibri" w:cs="Calibri" w:eastAsia="Calibri" w:hAnsi="Calibri"/>
          <w:sz w:val="23"/>
          <w:szCs w:val="23"/>
          <w:rtl w:val="0"/>
        </w:rPr>
        <w:t xml:space="preserve">Non. La « Professionals Platform » est indépendante et n’est affiliée ni aux Alcooliques anonymes (AA), ni à aucune région, aucun district ou comité de service.</w:t>
      </w:r>
    </w:p>
    <w:p w:rsidR="00000000" w:rsidDel="00000000" w:rsidP="00000000" w:rsidRDefault="00000000" w:rsidRPr="00000000" w14:paraId="00000004">
      <w:pPr>
        <w:widowControl w:val="0"/>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05">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Les membres des AA peuvent-ils y participer ? </w:t>
      </w:r>
      <w:r w:rsidDel="00000000" w:rsidR="00000000" w:rsidRPr="00000000">
        <w:rPr>
          <w:rFonts w:ascii="Calibri" w:cs="Calibri" w:eastAsia="Calibri" w:hAnsi="Calibri"/>
          <w:sz w:val="23"/>
          <w:szCs w:val="23"/>
          <w:rtl w:val="0"/>
        </w:rPr>
        <w:t xml:space="preserve">Oui. Les membres des AA peuvent y participer à titre personnel ou professionnel. La participation est volontaire et s’inscrit en dehors de la structure de service des AA.</w:t>
      </w:r>
    </w:p>
    <w:p w:rsidR="00000000" w:rsidDel="00000000" w:rsidP="00000000" w:rsidRDefault="00000000" w:rsidRPr="00000000" w14:paraId="00000006">
      <w:pPr>
        <w:widowControl w:val="0"/>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À qui s’adresse cette plateforme ?</w:t>
      </w:r>
    </w:p>
    <w:p w:rsidR="00000000" w:rsidDel="00000000" w:rsidP="00000000" w:rsidRDefault="00000000" w:rsidRPr="00000000" w14:paraId="00000008">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 Professionals Platform » est conçue pour les professionnels de tous les secteurs susceptibles de rencontrer des personnes touchées par un trouble lié à la consommation d’alcool (Alcohol Use Disorder (AUD) ), notamment :</w:t>
      </w:r>
    </w:p>
    <w:p w:rsidR="00000000" w:rsidDel="00000000" w:rsidP="00000000" w:rsidRDefault="00000000" w:rsidRPr="00000000" w14:paraId="00000009">
      <w:pPr>
        <w:widowControl w:val="0"/>
        <w:numPr>
          <w:ilvl w:val="0"/>
          <w:numId w:val="1"/>
        </w:numPr>
        <w:spacing w:after="0" w:line="240" w:lineRule="auto"/>
        <w:ind w:left="720" w:hanging="360"/>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Responsables d’entreprise et d’organisations</w:t>
      </w:r>
      <w:r w:rsidDel="00000000" w:rsidR="00000000" w:rsidRPr="00000000">
        <w:rPr>
          <w:rFonts w:ascii="Calibri" w:cs="Calibri" w:eastAsia="Calibri" w:hAnsi="Calibri"/>
          <w:sz w:val="23"/>
          <w:szCs w:val="23"/>
          <w:rtl w:val="0"/>
        </w:rPr>
        <w:t xml:space="preserve"> — professionnels des ressources humaines, fournisseurs de programmes d’aide aux employés (PAE), dirigeants, directeurs et cadres supérieurs </w:t>
      </w:r>
    </w:p>
    <w:p w:rsidR="00000000" w:rsidDel="00000000" w:rsidP="00000000" w:rsidRDefault="00000000" w:rsidRPr="00000000" w14:paraId="0000000A">
      <w:pPr>
        <w:widowControl w:val="0"/>
        <w:numPr>
          <w:ilvl w:val="0"/>
          <w:numId w:val="1"/>
        </w:numPr>
        <w:spacing w:after="0" w:line="240" w:lineRule="auto"/>
        <w:ind w:left="720" w:hanging="360"/>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Santé et santé comportementale </w:t>
      </w:r>
      <w:r w:rsidDel="00000000" w:rsidR="00000000" w:rsidRPr="00000000">
        <w:rPr>
          <w:rFonts w:ascii="Calibri" w:cs="Calibri" w:eastAsia="Calibri" w:hAnsi="Calibri"/>
          <w:sz w:val="23"/>
          <w:szCs w:val="23"/>
          <w:rtl w:val="0"/>
        </w:rPr>
        <w:t xml:space="preserve">— prestataires de soins de santé, praticiens de la santé comportementale et travailleurs sociaux </w:t>
      </w:r>
    </w:p>
    <w:p w:rsidR="00000000" w:rsidDel="00000000" w:rsidP="00000000" w:rsidRDefault="00000000" w:rsidRPr="00000000" w14:paraId="0000000B">
      <w:pPr>
        <w:widowControl w:val="0"/>
        <w:numPr>
          <w:ilvl w:val="0"/>
          <w:numId w:val="1"/>
        </w:numPr>
        <w:spacing w:after="0" w:line="240" w:lineRule="auto"/>
        <w:ind w:left="720" w:hanging="360"/>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Sécurité publique et premiers secours</w:t>
      </w:r>
      <w:r w:rsidDel="00000000" w:rsidR="00000000" w:rsidRPr="00000000">
        <w:rPr>
          <w:rFonts w:ascii="Calibri" w:cs="Calibri" w:eastAsia="Calibri" w:hAnsi="Calibri"/>
          <w:sz w:val="23"/>
          <w:szCs w:val="23"/>
          <w:rtl w:val="0"/>
        </w:rPr>
        <w:t xml:space="preserve"> — pompiers, policiers et autres professionnels de première ligne </w:t>
      </w:r>
    </w:p>
    <w:p w:rsidR="00000000" w:rsidDel="00000000" w:rsidP="00000000" w:rsidRDefault="00000000" w:rsidRPr="00000000" w14:paraId="0000000C">
      <w:pPr>
        <w:widowControl w:val="0"/>
        <w:numPr>
          <w:ilvl w:val="0"/>
          <w:numId w:val="1"/>
        </w:numPr>
        <w:spacing w:after="0" w:line="240" w:lineRule="auto"/>
        <w:ind w:left="720" w:hanging="360"/>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Systèmes juridiques et judiciaires</w:t>
      </w:r>
      <w:r w:rsidDel="00000000" w:rsidR="00000000" w:rsidRPr="00000000">
        <w:rPr>
          <w:rFonts w:ascii="Calibri" w:cs="Calibri" w:eastAsia="Calibri" w:hAnsi="Calibri"/>
          <w:sz w:val="23"/>
          <w:szCs w:val="23"/>
          <w:rtl w:val="0"/>
        </w:rPr>
        <w:t xml:space="preserve"> — professionnels du droit, de la justice, des services correctionnels, de la probation et de la réinsertion </w:t>
      </w:r>
    </w:p>
    <w:p w:rsidR="00000000" w:rsidDel="00000000" w:rsidP="00000000" w:rsidRDefault="00000000" w:rsidRPr="00000000" w14:paraId="0000000D">
      <w:pPr>
        <w:widowControl w:val="0"/>
        <w:numPr>
          <w:ilvl w:val="0"/>
          <w:numId w:val="1"/>
        </w:numPr>
        <w:spacing w:after="0" w:line="240" w:lineRule="auto"/>
        <w:ind w:left="720" w:hanging="360"/>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Éducation et institutions communautaires</w:t>
      </w:r>
      <w:r w:rsidDel="00000000" w:rsidR="00000000" w:rsidRPr="00000000">
        <w:rPr>
          <w:rFonts w:ascii="Calibri" w:cs="Calibri" w:eastAsia="Calibri" w:hAnsi="Calibri"/>
          <w:sz w:val="23"/>
          <w:szCs w:val="23"/>
          <w:rtl w:val="0"/>
        </w:rPr>
        <w:t xml:space="preserve"> — administrateurs universitaires et de l’enseignement supérieur, enseignants, services d’aide aux étudiants et dirigeants d’organisations à but non lucratif ou communautaires</w:t>
      </w:r>
    </w:p>
    <w:p w:rsidR="00000000" w:rsidDel="00000000" w:rsidP="00000000" w:rsidRDefault="00000000" w:rsidRPr="00000000" w14:paraId="0000000E">
      <w:pPr>
        <w:widowControl w:val="0"/>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Comment les intervenants sont-ils sélectionnés ?</w:t>
      </w:r>
    </w:p>
    <w:p w:rsidR="00000000" w:rsidDel="00000000" w:rsidP="00000000" w:rsidRDefault="00000000" w:rsidRPr="00000000" w14:paraId="00000010">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Les intervenants sont invités en fonction de leur expertise professionnelle et de leur capacité à contribuer au dialogue intersectoriel sur le rétablissement et le soutien en milieu de travail.</w:t>
      </w:r>
    </w:p>
    <w:p w:rsidR="00000000" w:rsidDel="00000000" w:rsidP="00000000" w:rsidRDefault="00000000" w:rsidRPr="00000000" w14:paraId="00000011">
      <w:pPr>
        <w:widowControl w:val="0"/>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Pourquoi la Plateforme utilise-t-elle un langage clinique tel que « trouble lié à la consommation d’alcool » (Alcohol Use Disorder (AUD) )?</w:t>
      </w:r>
    </w:p>
    <w:p w:rsidR="00000000" w:rsidDel="00000000" w:rsidP="00000000" w:rsidRDefault="00000000" w:rsidRPr="00000000" w14:paraId="00000013">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La terminologie clinique est utilisée pour s'adapter aux publics professionnels et aux environnements de travail. Cela ne remplace ni ne modifie le langage des AA, mais reflète le contexte dans lequel les professionnels évoluent.</w:t>
      </w:r>
    </w:p>
    <w:p w:rsidR="00000000" w:rsidDel="00000000" w:rsidP="00000000" w:rsidRDefault="00000000" w:rsidRPr="00000000" w14:paraId="00000014">
      <w:pPr>
        <w:widowControl w:val="0"/>
        <w:spacing w:after="0"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15">
      <w:pPr>
        <w:widowControl w:val="0"/>
        <w:spacing w:after="0" w:line="240" w:lineRule="auto"/>
        <w:rPr>
          <w:rFonts w:ascii="Calibri" w:cs="Calibri" w:eastAsia="Calibri" w:hAnsi="Calibri"/>
          <w:b w:val="1"/>
          <w:bCs w:val="1"/>
          <w:sz w:val="23"/>
          <w:szCs w:val="23"/>
        </w:rPr>
      </w:pPr>
      <w:r w:rsidDel="00000000" w:rsidR="00000000" w:rsidRPr="00000000">
        <w:rPr>
          <w:rFonts w:ascii="Calibri" w:cs="Calibri" w:eastAsia="Calibri" w:hAnsi="Calibri"/>
          <w:b w:val="1"/>
          <w:bCs w:val="1"/>
          <w:sz w:val="23"/>
          <w:szCs w:val="23"/>
          <w:rtl w:val="0"/>
        </w:rPr>
        <w:t xml:space="preserve">La Plateforme sollicitera-t-elle des financements ou du soutien ?</w:t>
      </w:r>
    </w:p>
    <w:p w:rsidR="00000000" w:rsidDel="00000000" w:rsidP="00000000" w:rsidRDefault="00000000" w:rsidRPr="00000000" w14:paraId="00000016">
      <w:pPr>
        <w:widowControl w:val="0"/>
        <w:spacing w:after="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Un soutien pourra être sollicité pour répondre à des besoins spécifiques en matière d'accessibilité, tels que l'interprétation, afin de garantir une participation plus large. Tout soutien de ce type est volontaire et n'implique aucune affiliation avec les entités de service des AA ni aucun soutien de leur part.</w:t>
      </w:r>
    </w:p>
    <w:sectPr>
      <w:headerReference r:id="rId7" w:type="default"/>
      <w:footerReference r:id="rId8" w:type="default"/>
      <w:pgSz w:h="15840" w:w="12240" w:orient="portrait"/>
      <w:pgMar w:bottom="273.6" w:top="187.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6172200" cy="24765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172200" cy="2476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line="240" w:lineRule="auto"/>
      <w:rPr/>
    </w:pPr>
    <w:r w:rsidDel="00000000" w:rsidR="00000000" w:rsidRPr="00000000">
      <w:rPr>
        <w:rFonts w:ascii="Calibri" w:cs="Calibri" w:eastAsia="Calibri" w:hAnsi="Calibri"/>
        <w:b w:val="1"/>
        <w:bCs w:val="1"/>
        <w:sz w:val="10"/>
        <w:szCs w:val="10"/>
      </w:rPr>
      <w:drawing>
        <wp:inline distB="114300" distT="114300" distL="114300" distR="114300">
          <wp:extent cx="6062663"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62663"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z1EWAT6ri5P3p9LSTRfHEwE/w==">CgMxLjA4AHIhMXRmTWs0Tk52UVJGblY3VjBRcnZGc2txcktId2RhTVQ0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