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1A2E"/>
          <w:sz w:val="48"/>
          <w:szCs w:val="48"/>
        </w:rPr>
        <w:t xml:space="preserve">CRITICAL: Master the Atom</w:t>
      </w:r>
    </w:p>
    <w:p>
      <w:pPr>
        <w:jc w:val="center"/>
      </w:pPr>
      <w:r>
        <w:rPr>
          <w:rFonts w:ascii="Arial" w:cs="Arial" w:eastAsia="Arial" w:hAnsi="Arial"/>
          <w:color w:val="2D2D44"/>
          <w:sz w:val="36"/>
          <w:szCs w:val="36"/>
        </w:rPr>
        <w:t xml:space="preserve">Reactor Operator GUI</w:t>
      </w:r>
    </w:p>
    <w:p>
      <w:pPr>
        <w:spacing w:before="120"/>
        <w:jc w:val="center"/>
      </w:pPr>
      <w:r>
        <w:rPr>
          <w:rFonts w:ascii="Arial" w:cs="Arial" w:eastAsia="Arial" w:hAnsi="Arial"/>
          <w:color w:val="555555"/>
          <w:sz w:val="28"/>
          <w:szCs w:val="28"/>
        </w:rPr>
        <w:t xml:space="preserve">Design Specification Document</w:t>
      </w:r>
    </w:p>
    <w:p>
      <w:pPr>
        <w:spacing w:after="60"/>
      </w:pPr>
    </w:p>
    <w:p>
      <w:pPr>
        <w:spacing w:before="600"/>
        <w:jc w:val="center"/>
      </w:pPr>
      <w:r>
        <w:rPr>
          <w:rFonts w:ascii="Arial" w:cs="Arial" w:eastAsia="Arial" w:hAnsi="Arial"/>
          <w:color w:val="666666"/>
          <w:sz w:val="22"/>
          <w:szCs w:val="22"/>
        </w:rPr>
        <w:t xml:space="preserve">Version 1.0.0.0</w:t>
      </w:r>
    </w:p>
    <w:p>
      <w:pPr>
        <w:jc w:val="center"/>
      </w:pPr>
      <w:r>
        <w:rPr>
          <w:rFonts w:ascii="Arial" w:cs="Arial" w:eastAsia="Arial" w:hAnsi="Arial"/>
          <w:color w:val="666666"/>
          <w:sz w:val="22"/>
          <w:szCs w:val="22"/>
        </w:rPr>
        <w:t xml:space="preserve">February 2026</w:t>
      </w:r>
    </w:p>
    <w:p>
      <w:pPr>
        <w:spacing w:after="60"/>
      </w:pPr>
    </w:p>
    <w:p>
      <w:pPr>
        <w:spacing w:before="400"/>
        <w:jc w:val="center"/>
      </w:pPr>
      <w:r>
        <w:rPr>
          <w:rFonts w:ascii="Consolas" w:cs="Consolas" w:eastAsia="Consolas" w:hAnsi="Consolas"/>
          <w:color w:val="888888"/>
          <w:sz w:val="20"/>
          <w:szCs w:val="20"/>
        </w:rPr>
        <w:t xml:space="preserve">Target: 1920 x 1080 Windowed | Unity uGUI</w:t>
      </w:r>
    </w:p>
    <w:p>
      <w:pPr>
        <w:jc w:val="center"/>
      </w:pPr>
      <w:r>
        <w:rPr>
          <w:rFonts w:ascii="Arial" w:cs="Arial" w:eastAsia="Arial" w:hAnsi="Arial"/>
          <w:color w:val="888888"/>
          <w:sz w:val="20"/>
          <w:szCs w:val="20"/>
        </w:rPr>
        <w:t xml:space="preserve">Westinghouse 4-Loop PWR (3411 MWt) Reference Plant</w:t>
      </w:r>
    </w:p>
    <w:p>
      <w:r>
        <w:br w:type="page"/>
      </w:r>
    </w:p>
    <w:p>
      <w:pPr>
        <w:pStyle w:val="Heading1"/>
      </w:pPr>
      <w:r>
        <w:rPr>
          <w:rFonts w:ascii="Arial" w:cs="Arial" w:eastAsia="Arial" w:hAnsi="Arial"/>
          <w:b/>
          <w:bCs/>
          <w:sz w:val="32"/>
          <w:szCs w:val="32"/>
        </w:rPr>
        <w:t xml:space="preserve">1. Design Overview</w:t>
      </w:r>
    </w:p>
    <w:p>
      <w:pPr>
        <w:pStyle w:val="Heading2"/>
      </w:pPr>
      <w:r>
        <w:rPr>
          <w:rFonts w:ascii="Arial" w:cs="Arial" w:eastAsia="Arial" w:hAnsi="Arial"/>
          <w:b/>
          <w:bCs/>
          <w:sz w:val="28"/>
          <w:szCs w:val="28"/>
        </w:rPr>
        <w:t xml:space="preserve">1.1 Purpose</w:t>
      </w:r>
    </w:p>
    <w:p>
      <w:pPr>
        <w:spacing w:after="120"/>
      </w:pPr>
      <w:r>
        <w:rPr>
          <w:rFonts w:ascii="Arial" w:cs="Arial" w:eastAsia="Arial" w:hAnsi="Arial"/>
          <w:sz w:val="22"/>
          <w:szCs w:val="22"/>
        </w:rPr>
        <w:t xml:space="preserve">The Reactor Operator GUI is the primary gameplay interface for CRITICAL: Master the Atom. It provides the player with a realistic control room experience modeled on authentic Westinghouse 4-Loop PWR operator interfaces. The screen is bound to keyboard key '1' and presents a unified view of reactor status, core conditions, and operator controls.</w:t>
      </w:r>
    </w:p>
    <w:p>
      <w:pPr>
        <w:pStyle w:val="Heading2"/>
      </w:pPr>
      <w:r>
        <w:rPr>
          <w:rFonts w:ascii="Arial" w:cs="Arial" w:eastAsia="Arial" w:hAnsi="Arial"/>
          <w:b/>
          <w:bCs/>
          <w:sz w:val="28"/>
          <w:szCs w:val="28"/>
        </w:rPr>
        <w:t xml:space="preserve">1.2 Design Philosophy</w:t>
      </w:r>
    </w:p>
    <w:p>
      <w:pPr>
        <w:spacing w:after="120"/>
      </w:pPr>
      <w:r>
        <w:rPr>
          <w:rFonts w:ascii="Arial" w:cs="Arial" w:eastAsia="Arial" w:hAnsi="Arial"/>
          <w:sz w:val="22"/>
          <w:szCs w:val="22"/>
        </w:rPr>
        <w:t xml:space="preserve">The GUI design draws from two complementary control room traditions:</w:t>
      </w:r>
    </w:p>
    <w:p>
      <w:pPr>
        <w:pStyle w:val="ListParagraph"/>
        <w:numPr>
          <w:ilvl w:val="0"/>
          <w:numId w:val="2"/>
        </w:numPr>
        <w:spacing w:after="80"/>
      </w:pPr>
      <w:r>
        <w:rPr>
          <w:rFonts w:ascii="Arial" w:cs="Arial" w:eastAsia="Arial" w:hAnsi="Arial"/>
          <w:b/>
          <w:bCs/>
          <w:sz w:val="22"/>
          <w:szCs w:val="22"/>
        </w:rPr>
        <w:t xml:space="preserve">Westinghouse PWR Control Board: </w:t>
      </w:r>
      <w:r>
        <w:rPr>
          <w:rFonts w:ascii="Arial" w:cs="Arial" w:eastAsia="Arial" w:hAnsi="Arial"/>
          <w:sz w:val="22"/>
          <w:szCs w:val="22"/>
        </w:rPr>
        <w:t xml:space="preserve">The horseshoe-shaped instrumentation layout with annunciator panels, vertical rod position indicators, and analog/digital parameter displays. This provides the functional foundation.</w:t>
      </w:r>
    </w:p>
    <w:p>
      <w:pPr>
        <w:pStyle w:val="ListParagraph"/>
        <w:numPr>
          <w:ilvl w:val="0"/>
          <w:numId w:val="2"/>
        </w:numPr>
        <w:spacing w:after="80"/>
      </w:pPr>
      <w:r>
        <w:rPr>
          <w:rFonts w:ascii="Arial" w:cs="Arial" w:eastAsia="Arial" w:hAnsi="Arial"/>
          <w:b/>
          <w:bCs/>
          <w:sz w:val="22"/>
          <w:szCs w:val="22"/>
        </w:rPr>
        <w:t xml:space="preserve">RBMK Mosaic Mimic Board: </w:t>
      </w:r>
      <w:r>
        <w:rPr>
          <w:rFonts w:ascii="Arial" w:cs="Arial" w:eastAsia="Arial" w:hAnsi="Arial"/>
          <w:sz w:val="22"/>
          <w:szCs w:val="22"/>
        </w:rPr>
        <w:t xml:space="preserve">The iconic illuminated core map with colored cells representing individual fuel channels. This provides the visual centerpiece — adapted from the RBMK channel grid to the Westinghouse 193-assembly cross-pattern.</w:t>
      </w:r>
    </w:p>
    <w:p>
      <w:pPr>
        <w:spacing w:after="120"/>
      </w:pPr>
      <w:r>
        <w:rPr>
          <w:rFonts w:ascii="Arial" w:cs="Arial" w:eastAsia="Arial" w:hAnsi="Arial"/>
          <w:sz w:val="22"/>
          <w:szCs w:val="22"/>
        </w:rPr>
        <w:t xml:space="preserve">The result is a hybrid aesthetic: the visual drama of the RBMK mosaic board with the engineering accuracy of a Westinghouse PWR control room.</w:t>
      </w:r>
    </w:p>
    <w:p>
      <w:pPr>
        <w:pStyle w:val="Heading2"/>
      </w:pPr>
      <w:r>
        <w:rPr>
          <w:rFonts w:ascii="Arial" w:cs="Arial" w:eastAsia="Arial" w:hAnsi="Arial"/>
          <w:b/>
          <w:bCs/>
          <w:sz w:val="28"/>
          <w:szCs w:val="28"/>
        </w:rPr>
        <w:t xml:space="preserve">1.3 Resolution and Layout Strategy</w:t>
      </w:r>
    </w:p>
    <w:p>
      <w:pPr>
        <w:spacing w:after="120"/>
      </w:pPr>
      <w:r>
        <w:rPr>
          <w:rFonts w:ascii="Arial" w:cs="Arial" w:eastAsia="Arial" w:hAnsi="Arial"/>
          <w:sz w:val="22"/>
          <w:szCs w:val="22"/>
        </w:rPr>
        <w:t xml:space="preserve">The target resolution is 1920 x 1080 pixels in a windowed display. The layout divides the screen into four functional zones:</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6440"/>
      </w:tblGrid>
      <w:tr>
        <w:tc>
          <w:tcPr>
            <w:tcW w:type="dxa" w:w="20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Zone</w:t>
            </w:r>
          </w:p>
        </w:tc>
        <w:tc>
          <w:tcPr>
            <w:tcW w:type="dxa" w:w="14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Position</w:t>
            </w:r>
          </w:p>
        </w:tc>
        <w:tc>
          <w:tcPr>
            <w:tcW w:type="dxa" w:w="64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Content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Left Gauges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Left 15%</w:t>
            </w:r>
          </w:p>
        </w:tc>
        <w:tc>
          <w:tcPr>
            <w:tcW w:type="dxa" w:w="6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Nuclear instrumentation: power, reactivity, period, startup rate, boron, xenon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Core Mosaic Map</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Center 50%</w:t>
            </w:r>
          </w:p>
        </w:tc>
        <w:tc>
          <w:tcPr>
            <w:tcW w:type="dxa" w:w="6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Interactive 193-assembly core visualization with RCCA overlays, color-coded power/temperature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Right Gauges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Right 15%</w:t>
            </w:r>
          </w:p>
        </w:tc>
        <w:tc>
          <w:tcPr>
            <w:tcW w:type="dxa" w:w="6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Thermal-hydraulic parameters: temperatures, pressure, flow, fuel temps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Bottom Panel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Bottom 25%</w:t>
            </w:r>
          </w:p>
        </w:tc>
        <w:tc>
          <w:tcPr>
            <w:tcW w:type="dxa" w:w="6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Control panel (rod controls, bank position bars, boron controls, trip, time compression) and alarm annunciator strip</w:t>
            </w:r>
          </w:p>
        </w:tc>
      </w:tr>
    </w:tbl>
    <w:p>
      <w:pPr>
        <w:pStyle w:val="Heading2"/>
      </w:pPr>
      <w:r>
        <w:rPr>
          <w:rFonts w:ascii="Arial" w:cs="Arial" w:eastAsia="Arial" w:hAnsi="Arial"/>
          <w:b/>
          <w:bCs/>
          <w:sz w:val="28"/>
          <w:szCs w:val="28"/>
        </w:rPr>
        <w:t xml:space="preserve">1.4 Color Theme</w:t>
      </w:r>
    </w:p>
    <w:p>
      <w:pPr>
        <w:spacing w:after="120"/>
      </w:pPr>
      <w:r>
        <w:rPr>
          <w:rFonts w:ascii="Arial" w:cs="Arial" w:eastAsia="Arial" w:hAnsi="Arial"/>
          <w:sz w:val="22"/>
          <w:szCs w:val="22"/>
        </w:rPr>
        <w:t xml:space="preserve">Dark industrial theme reflecting actual control room ambient lighting: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240"/>
      </w:tblGrid>
      <w:tr>
        <w:tc>
          <w:tcPr>
            <w:tcW w:type="dxa" w:w="26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Element</w:t>
            </w:r>
          </w:p>
        </w:tc>
        <w:tc>
          <w:tcPr>
            <w:tcW w:type="dxa" w:w="20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Color</w:t>
            </w:r>
          </w:p>
        </w:tc>
        <w:tc>
          <w:tcPr>
            <w:tcW w:type="dxa" w:w="52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Rationale</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Background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#1A1A1F</w:t>
            </w:r>
          </w:p>
        </w:tc>
        <w:tc>
          <w:tcPr>
            <w:tcW w:type="dxa" w:w="5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Near-black with blue undertone. Reduces eye strain during extended play.</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Panel borders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#2A2A35</w:t>
            </w:r>
          </w:p>
        </w:tc>
        <w:tc>
          <w:tcPr>
            <w:tcW w:type="dxa" w:w="5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Subtle panel delineation without harsh contrast.</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Text (normal)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#C8D0D8</w:t>
            </w:r>
          </w:p>
        </w:tc>
        <w:tc>
          <w:tcPr>
            <w:tcW w:type="dxa" w:w="5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Slightly cool white. Readable without glare.</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Text (labels)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#8090A0</w:t>
            </w:r>
          </w:p>
        </w:tc>
        <w:tc>
          <w:tcPr>
            <w:tcW w:type="dxa" w:w="5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Muted blue-grey for secondary labels and units.</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Accent (green)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#00FF88</w:t>
            </w:r>
          </w:p>
        </w:tc>
        <w:tc>
          <w:tcPr>
            <w:tcW w:type="dxa" w:w="5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Primary healthy/normal indicator. Nuclear green.</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Accent (amber)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#FFB830</w:t>
            </w:r>
          </w:p>
        </w:tc>
        <w:tc>
          <w:tcPr>
            <w:tcW w:type="dxa" w:w="5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Warning state. Approaching limits.</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Accent (red)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#FF3344</w:t>
            </w:r>
          </w:p>
        </w:tc>
        <w:tc>
          <w:tcPr>
            <w:tcW w:type="dxa" w:w="5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Alarm/trip state. Immediate attention required.</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Accent (cyan)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#00CCFF</w:t>
            </w:r>
          </w:p>
        </w:tc>
        <w:tc>
          <w:tcPr>
            <w:tcW w:type="dxa" w:w="5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Selected/highlighted items. Interactive focus.</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Core cold (blue)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#0044AA</w:t>
            </w:r>
          </w:p>
        </w:tc>
        <w:tc>
          <w:tcPr>
            <w:tcW w:type="dxa" w:w="5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Low relative power/temperature on core map.</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Core hot (red)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#FF2200</w:t>
            </w:r>
          </w:p>
        </w:tc>
        <w:tc>
          <w:tcPr>
            <w:tcW w:type="dxa" w:w="5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High relative power/temperature on core map.</w:t>
            </w:r>
          </w:p>
        </w:tc>
      </w:tr>
    </w:tbl>
    <w:p>
      <w:r>
        <w:br w:type="page"/>
      </w:r>
    </w:p>
    <w:p>
      <w:pPr>
        <w:pStyle w:val="Heading1"/>
      </w:pPr>
      <w:r>
        <w:rPr>
          <w:rFonts w:ascii="Arial" w:cs="Arial" w:eastAsia="Arial" w:hAnsi="Arial"/>
          <w:b/>
          <w:bCs/>
          <w:sz w:val="32"/>
          <w:szCs w:val="32"/>
        </w:rPr>
        <w:t xml:space="preserve">2. Central Core Mosaic Map</w:t>
      </w:r>
    </w:p>
    <w:p>
      <w:pPr>
        <w:spacing w:after="120"/>
      </w:pPr>
      <w:r>
        <w:rPr>
          <w:rFonts w:ascii="Arial" w:cs="Arial" w:eastAsia="Arial" w:hAnsi="Arial"/>
          <w:sz w:val="22"/>
          <w:szCs w:val="22"/>
        </w:rPr>
        <w:t xml:space="preserve">The core mosaic map is the visual centerpiece of the GUI and the primary innovation beyond standard PWR control room displays. It renders all 193 fuel assemblies as interactive colored cells in the authentic Westinghouse cross-pattern, with RCCA positions overlaid as bank-colored markers.</w:t>
      </w:r>
    </w:p>
    <w:p>
      <w:pPr>
        <w:pStyle w:val="Heading2"/>
      </w:pPr>
      <w:r>
        <w:rPr>
          <w:rFonts w:ascii="Arial" w:cs="Arial" w:eastAsia="Arial" w:hAnsi="Arial"/>
          <w:b/>
          <w:bCs/>
          <w:sz w:val="28"/>
          <w:szCs w:val="28"/>
        </w:rPr>
        <w:t xml:space="preserve">2.1 Core Map: 193 Fuel Assembly Layout</w:t>
      </w:r>
    </w:p>
    <w:p>
      <w:pPr>
        <w:spacing w:after="120"/>
      </w:pPr>
      <w:r>
        <w:rPr>
          <w:rFonts w:ascii="Arial" w:cs="Arial" w:eastAsia="Arial" w:hAnsi="Arial"/>
          <w:sz w:val="22"/>
          <w:szCs w:val="22"/>
        </w:rPr>
        <w:t xml:space="preserve">The Westinghouse 4-Loop PWR contains 193 fuel assemblies arranged in a roughly circular cross-pattern within a 15x15 grid. The corners of the grid are unoccupied, yielding the characteristic octagonal core cross-section. Each assembly is a 17x17 lattice of 264 fuel rods, 24 guide thimbles, and 1 instrument tube.</w:t>
      </w:r>
    </w:p>
    <w:p>
      <w:pPr>
        <w:spacing w:after="120"/>
      </w:pPr>
      <w:r>
        <w:rPr>
          <w:rFonts w:ascii="Arial" w:cs="Arial" w:eastAsia="Arial" w:hAnsi="Arial"/>
          <w:sz w:val="22"/>
          <w:szCs w:val="22"/>
        </w:rPr>
        <w:t xml:space="preserve">Of the 193 assemblies, 53 contain Rod Cluster Control Assemblies (RCCAs) distributed across 8 banks. The remaining 140 assemblies contain either burnable poison rod assemblies (BPRAs), thimble plugs, or secondary neutron source assemblies.</w:t>
      </w:r>
    </w:p>
    <w:p>
      <w:pPr>
        <w:pStyle w:val="Heading3"/>
        <w:spacing w:before="120" w:after="80"/>
      </w:pPr>
      <w:r>
        <w:rPr>
          <w:rFonts w:ascii="Arial" w:cs="Arial" w:eastAsia="Arial" w:hAnsi="Arial"/>
          <w:b/>
          <w:bCs/>
          <w:sz w:val="24"/>
          <w:szCs w:val="24"/>
        </w:rPr>
        <w:t xml:space="preserve">2.1.1 Core Cross-Pattern (15x15 Grid Occupancy)</w:t>
      </w:r>
    </w:p>
    <w:p>
      <w:pPr>
        <w:spacing w:after="120"/>
      </w:pPr>
      <w:r>
        <w:rPr>
          <w:rFonts w:ascii="Arial" w:cs="Arial" w:eastAsia="Arial" w:hAnsi="Arial"/>
          <w:sz w:val="22"/>
          <w:szCs w:val="22"/>
        </w:rPr>
        <w:t xml:space="preserve">The following table shows the 15x15 grid occupancy. Each cell shows the assembly type: F = fuel-only, bank letter = RCCA location (SA, SB, SC, SD, D, C, B, A), dash = unoccupied corner position. Grid coordinates use Row (1-15, top to bottom) and Column (A-P, excluding I, left to right).</w:t>
      </w:r>
    </w:p>
    <w:p>
      <w:pPr>
        <w:spacing w:after="120"/>
      </w:pPr>
      <w:r>
        <w:rPr>
          <w:rFonts w:ascii="Arial" w:cs="Arial" w:eastAsia="Arial" w:hAnsi="Arial"/>
          <w:sz w:val="22"/>
          <w:szCs w:val="22"/>
        </w:rPr>
        <w:t xml:space="preserve">This layout is based on the standard Westinghouse 4-Loop core loading arrangement from NRC FSAR documentation. The RCCA bank assignments follow the typical pattern where shutdown banks (SA-SD) occupy peripheral and semi-peripheral positions, while control banks (D, C, B, A) occupy positions nearer the core center for effective power shaping.</w:t>
      </w:r>
    </w:p>
    <w:p>
      <w:pPr>
        <w:spacing w:after="60"/>
      </w:pPr>
    </w:p>
    <w:p>
      <w:pPr>
        <w:spacing w:after="120"/>
      </w:pPr>
      <w:r>
        <w:rPr>
          <w:rFonts w:ascii="Arial" w:cs="Arial" w:eastAsia="Arial" w:hAnsi="Arial"/>
          <w:sz w:val="22"/>
          <w:szCs w:val="22"/>
        </w:rPr>
        <w:t xml:space="preserve">The core occupancy follows quarter-core symmetry (octant symmetry for RCCA placement). The 15x15 grid has corner positions removed:</w:t>
      </w:r>
    </w:p>
    <w:p>
      <w:pPr>
        <w:spacing w:after="80"/>
      </w:pPr>
      <w:r>
        <w:rPr>
          <w:rFonts w:ascii="Consolas" w:cs="Consolas" w:eastAsia="Consolas" w:hAnsi="Consolas"/>
          <w:sz w:val="18"/>
          <w:szCs w:val="18"/>
        </w:rPr>
        <w:t xml:space="preserve">Row 1:  --  --  --  --  F   F   F   F   F   F   F  --  --  --  --</w:t>
      </w:r>
    </w:p>
    <w:p>
      <w:pPr>
        <w:spacing w:after="80"/>
      </w:pPr>
      <w:r>
        <w:rPr>
          <w:rFonts w:ascii="Consolas" w:cs="Consolas" w:eastAsia="Consolas" w:hAnsi="Consolas"/>
          <w:sz w:val="18"/>
          <w:szCs w:val="18"/>
        </w:rPr>
        <w:t xml:space="preserve">Row 2:  --  --  F   F   F   F   F   F   F   F   F   F   F  --  --</w:t>
      </w:r>
    </w:p>
    <w:p>
      <w:pPr>
        <w:spacing w:after="80"/>
      </w:pPr>
      <w:r>
        <w:rPr>
          <w:rFonts w:ascii="Consolas" w:cs="Consolas" w:eastAsia="Consolas" w:hAnsi="Consolas"/>
          <w:sz w:val="18"/>
          <w:szCs w:val="18"/>
        </w:rPr>
        <w:t xml:space="preserve">Row 3:  --  F   F   F   F   F   F   F   F   F   F   F   F   F  --</w:t>
      </w:r>
    </w:p>
    <w:p>
      <w:pPr>
        <w:spacing w:after="80"/>
      </w:pPr>
      <w:r>
        <w:rPr>
          <w:rFonts w:ascii="Consolas" w:cs="Consolas" w:eastAsia="Consolas" w:hAnsi="Consolas"/>
          <w:sz w:val="18"/>
          <w:szCs w:val="18"/>
        </w:rPr>
        <w:t xml:space="preserve">Row 4:  --  F   F   F   F   F   F   F   F   F   F   F   F   F  --</w:t>
      </w:r>
    </w:p>
    <w:p>
      <w:pPr>
        <w:spacing w:after="80"/>
      </w:pPr>
      <w:r>
        <w:rPr>
          <w:rFonts w:ascii="Consolas" w:cs="Consolas" w:eastAsia="Consolas" w:hAnsi="Consolas"/>
          <w:sz w:val="18"/>
          <w:szCs w:val="18"/>
        </w:rPr>
        <w:t xml:space="preserve">Row 5:  F   F   F   F   F   F   F   F   F   F   F   F   F   F   F</w:t>
      </w:r>
    </w:p>
    <w:p>
      <w:pPr>
        <w:spacing w:after="80"/>
      </w:pPr>
      <w:r>
        <w:rPr>
          <w:rFonts w:ascii="Consolas" w:cs="Consolas" w:eastAsia="Consolas" w:hAnsi="Consolas"/>
          <w:sz w:val="18"/>
          <w:szCs w:val="18"/>
        </w:rPr>
        <w:t xml:space="preserve">Row 6:  F   F   F   F   F   F   F   F   F   F   F   F   F   F   F</w:t>
      </w:r>
    </w:p>
    <w:p>
      <w:pPr>
        <w:spacing w:after="80"/>
      </w:pPr>
      <w:r>
        <w:rPr>
          <w:rFonts w:ascii="Consolas" w:cs="Consolas" w:eastAsia="Consolas" w:hAnsi="Consolas"/>
          <w:sz w:val="18"/>
          <w:szCs w:val="18"/>
        </w:rPr>
        <w:t xml:space="preserve">Row 7:  F   F   F   F   F   F   F   F   F   F   F   F   F   F   F</w:t>
      </w:r>
    </w:p>
    <w:p>
      <w:pPr>
        <w:spacing w:after="80"/>
      </w:pPr>
      <w:r>
        <w:rPr>
          <w:rFonts w:ascii="Consolas" w:cs="Consolas" w:eastAsia="Consolas" w:hAnsi="Consolas"/>
          <w:sz w:val="18"/>
          <w:szCs w:val="18"/>
        </w:rPr>
        <w:t xml:space="preserve">Row 8:  F   F   F   F   F   F   F   F   F   F   F   F   F   F   F</w:t>
      </w:r>
    </w:p>
    <w:p>
      <w:pPr>
        <w:spacing w:after="80"/>
      </w:pPr>
      <w:r>
        <w:rPr>
          <w:rFonts w:ascii="Consolas" w:cs="Consolas" w:eastAsia="Consolas" w:hAnsi="Consolas"/>
          <w:sz w:val="18"/>
          <w:szCs w:val="18"/>
        </w:rPr>
        <w:t xml:space="preserve">Row 9:  F   F   F   F   F   F   F   F   F   F   F   F   F   F   F</w:t>
      </w:r>
    </w:p>
    <w:p>
      <w:pPr>
        <w:spacing w:after="80"/>
      </w:pPr>
      <w:r>
        <w:rPr>
          <w:rFonts w:ascii="Consolas" w:cs="Consolas" w:eastAsia="Consolas" w:hAnsi="Consolas"/>
          <w:sz w:val="18"/>
          <w:szCs w:val="18"/>
        </w:rPr>
        <w:t xml:space="preserve">Row 10: F   F   F   F   F   F   F   F   F   F   F   F   F   F   F</w:t>
      </w:r>
    </w:p>
    <w:p>
      <w:pPr>
        <w:spacing w:after="80"/>
      </w:pPr>
      <w:r>
        <w:rPr>
          <w:rFonts w:ascii="Consolas" w:cs="Consolas" w:eastAsia="Consolas" w:hAnsi="Consolas"/>
          <w:sz w:val="18"/>
          <w:szCs w:val="18"/>
        </w:rPr>
        <w:t xml:space="preserve">Row 11: F   F   F   F   F   F   F   F   F   F   F   F   F   F   F</w:t>
      </w:r>
    </w:p>
    <w:p>
      <w:pPr>
        <w:spacing w:after="80"/>
      </w:pPr>
      <w:r>
        <w:rPr>
          <w:rFonts w:ascii="Consolas" w:cs="Consolas" w:eastAsia="Consolas" w:hAnsi="Consolas"/>
          <w:sz w:val="18"/>
          <w:szCs w:val="18"/>
        </w:rPr>
        <w:t xml:space="preserve">Row 12: --  F   F   F   F   F   F   F   F   F   F   F   F   F  --</w:t>
      </w:r>
    </w:p>
    <w:p>
      <w:pPr>
        <w:spacing w:after="80"/>
      </w:pPr>
      <w:r>
        <w:rPr>
          <w:rFonts w:ascii="Consolas" w:cs="Consolas" w:eastAsia="Consolas" w:hAnsi="Consolas"/>
          <w:sz w:val="18"/>
          <w:szCs w:val="18"/>
        </w:rPr>
        <w:t xml:space="preserve">Row 13: --  F   F   F   F   F   F   F   F   F   F   F   F   F  --</w:t>
      </w:r>
    </w:p>
    <w:p>
      <w:pPr>
        <w:spacing w:after="80"/>
      </w:pPr>
      <w:r>
        <w:rPr>
          <w:rFonts w:ascii="Consolas" w:cs="Consolas" w:eastAsia="Consolas" w:hAnsi="Consolas"/>
          <w:sz w:val="18"/>
          <w:szCs w:val="18"/>
        </w:rPr>
        <w:t xml:space="preserve">Row 14: --  --  F   F   F   F   F   F   F   F   F   F   F  --  --</w:t>
      </w:r>
    </w:p>
    <w:p>
      <w:pPr>
        <w:spacing w:after="80"/>
      </w:pPr>
      <w:r>
        <w:rPr>
          <w:rFonts w:ascii="Consolas" w:cs="Consolas" w:eastAsia="Consolas" w:hAnsi="Consolas"/>
          <w:sz w:val="18"/>
          <w:szCs w:val="18"/>
        </w:rPr>
        <w:t xml:space="preserve">Row 15: --  --  --  --  F   F   F   F   F   F   F  --  --  --  --</w:t>
      </w:r>
    </w:p>
    <w:p>
      <w:pPr>
        <w:spacing w:after="60"/>
      </w:pPr>
    </w:p>
    <w:p>
      <w:pPr>
        <w:spacing w:after="120"/>
      </w:pPr>
      <w:r>
        <w:rPr>
          <w:rFonts w:ascii="Arial" w:cs="Arial" w:eastAsia="Arial" w:hAnsi="Arial"/>
          <w:sz w:val="22"/>
          <w:szCs w:val="22"/>
        </w:rPr>
        <w:t xml:space="preserve">Total occupied positions: 193. Corner exclusions: 4 groups of 8 = 32 removed from 225 (15x15).</w:t>
      </w:r>
    </w:p>
    <w:p>
      <w:pPr>
        <w:pStyle w:val="Heading3"/>
        <w:spacing w:before="120" w:after="80"/>
      </w:pPr>
      <w:r>
        <w:rPr>
          <w:rFonts w:ascii="Arial" w:cs="Arial" w:eastAsia="Arial" w:hAnsi="Arial"/>
          <w:b/>
          <w:bCs/>
          <w:sz w:val="24"/>
          <w:szCs w:val="24"/>
        </w:rPr>
        <w:t xml:space="preserve">2.1.2 RCCA Bank Assignments (53 locations)</w:t>
      </w:r>
    </w:p>
    <w:p>
      <w:pPr>
        <w:spacing w:after="120"/>
      </w:pPr>
      <w:r>
        <w:rPr>
          <w:rFonts w:ascii="Arial" w:cs="Arial" w:eastAsia="Arial" w:hAnsi="Arial"/>
          <w:sz w:val="22"/>
          <w:szCs w:val="22"/>
        </w:rPr>
        <w:t xml:space="preserve">The 53 RCCA locations are distributed across 8 banks following standard Westinghouse practice. Bank assignments follow octant symmetry where possible: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200"/>
        <w:gridCol w:w="5960"/>
      </w:tblGrid>
      <w:tr>
        <w:tc>
          <w:tcPr>
            <w:tcW w:type="dxa" w:w="12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Bank</w:t>
            </w:r>
          </w:p>
        </w:tc>
        <w:tc>
          <w:tcPr>
            <w:tcW w:type="dxa" w:w="10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Type</w:t>
            </w:r>
          </w:p>
        </w:tc>
        <w:tc>
          <w:tcPr>
            <w:tcW w:type="dxa" w:w="12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RCCAs</w:t>
            </w:r>
          </w:p>
        </w:tc>
        <w:tc>
          <w:tcPr>
            <w:tcW w:type="dxa" w:w="59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Function</w:t>
            </w:r>
          </w:p>
        </w:tc>
      </w:tr>
      <w:tr>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20"/>
                <w:szCs w:val="20"/>
              </w:rPr>
              <w:t xml:space="preserve">SA</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Shutdown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First withdrawn during startup. Provides shutdown margin.</w:t>
            </w:r>
          </w:p>
        </w:tc>
      </w:tr>
      <w:tr>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20"/>
                <w:szCs w:val="20"/>
              </w:rPr>
              <w:t xml:space="preserve">SB</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Shutdown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Second withdrawn. Peripheral core positions.</w:t>
            </w:r>
          </w:p>
        </w:tc>
      </w:tr>
      <w:tr>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20"/>
                <w:szCs w:val="20"/>
              </w:rPr>
              <w:t xml:space="preserve">SC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Shutdown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Third withdrawn. Semi-peripheral positions.</w:t>
            </w:r>
          </w:p>
        </w:tc>
      </w:tr>
      <w:tr>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20"/>
                <w:szCs w:val="20"/>
              </w:rPr>
              <w:t xml:space="preserve">SD</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Shutdown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Last shutdown bank withdrawn. Provides scram reactivity.</w:t>
            </w:r>
          </w:p>
        </w:tc>
      </w:tr>
      <w:tr>
        <w:tc>
          <w:tcPr>
            <w:tcW w:type="dxa" w:w="1200"/>
            <w:tcBorders>
              <w:top w:val="single" w:color="999999" w:sz="1"/>
              <w:left w:val="single" w:color="999999" w:sz="1"/>
              <w:bottom w:val="single" w:color="999999" w:sz="1"/>
              <w:right w:val="single" w:color="999999" w:sz="1"/>
            </w:tcBorders>
            <w:shd w:fill="E3F2FD" w:val="clear"/>
            <w:tcMar>
              <w:top w:type="dxa" w:w="60"/>
              <w:left w:type="dxa" w:w="100"/>
              <w:bottom w:type="dxa" w:w="60"/>
              <w:right w:type="dxa" w:w="100"/>
            </w:tcMar>
          </w:tcPr>
          <w:p>
            <w:r>
              <w:rPr>
                <w:rFonts w:ascii="Arial" w:cs="Arial" w:eastAsia="Arial" w:hAnsi="Arial"/>
                <w:sz w:val="20"/>
                <w:szCs w:val="20"/>
              </w:rPr>
              <w:t xml:space="preserve">D</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Control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Lead control bank. Primary regulating bank for load follow and temperature control.</w:t>
            </w:r>
          </w:p>
        </w:tc>
      </w:tr>
      <w:tr>
        <w:tc>
          <w:tcPr>
            <w:tcW w:type="dxa" w:w="1200"/>
            <w:tcBorders>
              <w:top w:val="single" w:color="999999" w:sz="1"/>
              <w:left w:val="single" w:color="999999" w:sz="1"/>
              <w:bottom w:val="single" w:color="999999" w:sz="1"/>
              <w:right w:val="single" w:color="999999" w:sz="1"/>
            </w:tcBorders>
            <w:shd w:fill="E3F2FD" w:val="clear"/>
            <w:tcMar>
              <w:top w:type="dxa" w:w="60"/>
              <w:left w:type="dxa" w:w="100"/>
              <w:bottom w:type="dxa" w:w="60"/>
              <w:right w:type="dxa" w:w="100"/>
            </w:tcMar>
          </w:tcPr>
          <w:p>
            <w:r>
              <w:rPr>
                <w:rFonts w:ascii="Arial" w:cs="Arial" w:eastAsia="Arial" w:hAnsi="Arial"/>
                <w:sz w:val="20"/>
                <w:szCs w:val="20"/>
              </w:rPr>
              <w:t xml:space="preserve">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Control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Overlap bank. Supplements Bank D reactivity range.</w:t>
            </w:r>
          </w:p>
        </w:tc>
      </w:tr>
      <w:tr>
        <w:tc>
          <w:tcPr>
            <w:tcW w:type="dxa" w:w="1200"/>
            <w:tcBorders>
              <w:top w:val="single" w:color="999999" w:sz="1"/>
              <w:left w:val="single" w:color="999999" w:sz="1"/>
              <w:bottom w:val="single" w:color="999999" w:sz="1"/>
              <w:right w:val="single" w:color="999999" w:sz="1"/>
            </w:tcBorders>
            <w:shd w:fill="E3F2FD" w:val="clear"/>
            <w:tcMar>
              <w:top w:type="dxa" w:w="60"/>
              <w:left w:type="dxa" w:w="100"/>
              <w:bottom w:type="dxa" w:w="60"/>
              <w:right w:type="dxa" w:w="100"/>
            </w:tcMar>
          </w:tcPr>
          <w:p>
            <w:r>
              <w:rPr>
                <w:rFonts w:ascii="Arial" w:cs="Arial" w:eastAsia="Arial" w:hAnsi="Arial"/>
                <w:sz w:val="20"/>
                <w:szCs w:val="20"/>
              </w:rPr>
              <w:t xml:space="preserve">B</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Control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Deep power reduction bank. Moves only at lower power levels.</w:t>
            </w:r>
          </w:p>
        </w:tc>
      </w:tr>
      <w:tr>
        <w:tc>
          <w:tcPr>
            <w:tcW w:type="dxa" w:w="1200"/>
            <w:tcBorders>
              <w:top w:val="single" w:color="999999" w:sz="1"/>
              <w:left w:val="single" w:color="999999" w:sz="1"/>
              <w:bottom w:val="single" w:color="999999" w:sz="1"/>
              <w:right w:val="single" w:color="999999" w:sz="1"/>
            </w:tcBorders>
            <w:shd w:fill="E3F2FD" w:val="clear"/>
            <w:tcMar>
              <w:top w:type="dxa" w:w="60"/>
              <w:left w:type="dxa" w:w="100"/>
              <w:bottom w:type="dxa" w:w="60"/>
              <w:right w:type="dxa" w:w="100"/>
            </w:tcMar>
          </w:tcPr>
          <w:p>
            <w:r>
              <w:rPr>
                <w:rFonts w:ascii="Arial" w:cs="Arial" w:eastAsia="Arial" w:hAnsi="Arial"/>
                <w:sz w:val="20"/>
                <w:szCs w:val="20"/>
              </w:rPr>
              <w:t xml:space="preserve">A</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Control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Lead bank for power reduction. First control bank inserted on power decrease.</w:t>
            </w:r>
          </w:p>
        </w:tc>
      </w:tr>
    </w:tbl>
    <w:p>
      <w:pPr>
        <w:spacing w:after="60"/>
      </w:pPr>
    </w:p>
    <w:p>
      <w:pPr>
        <w:spacing w:after="120"/>
      </w:pPr>
      <w:r>
        <w:rPr>
          <w:rFonts w:ascii="Arial" w:cs="Arial" w:eastAsia="Arial" w:hAnsi="Arial"/>
          <w:b/>
          <w:bCs/>
          <w:sz w:val="22"/>
          <w:szCs w:val="22"/>
        </w:rPr>
        <w:t xml:space="preserve">Total: 53 RCCAs</w:t>
      </w:r>
      <w:r>
        <w:rPr>
          <w:rFonts w:ascii="Arial" w:cs="Arial" w:eastAsia="Arial" w:hAnsi="Arial"/>
          <w:sz w:val="22"/>
          <w:szCs w:val="22"/>
        </w:rPr>
        <w:t xml:space="preserve"> (24 shutdown + 29 control). Some references cite 53 total for 4-Loop, others cite 57. Our simulation uses 53 per the standard Westinghouse Technology Manual.</w:t>
      </w:r>
    </w:p>
    <w:p>
      <w:pPr>
        <w:spacing w:after="120"/>
      </w:pPr>
      <w:r>
        <w:rPr>
          <w:rFonts w:ascii="Arial" w:cs="Arial" w:eastAsia="Arial" w:hAnsi="Arial"/>
          <w:sz w:val="22"/>
          <w:szCs w:val="22"/>
        </w:rPr>
        <w:t xml:space="preserve">Note: The remaining 140 fuel assembly positions contain no movable control elements and are occupied by fuel-only assemblies, BPRAs, thimble plugs, or neutron source assemblies.</w:t>
      </w:r>
    </w:p>
    <w:p>
      <w:r>
        <w:br w:type="page"/>
      </w:r>
    </w:p>
    <w:p>
      <w:pPr>
        <w:pStyle w:val="Heading2"/>
      </w:pPr>
      <w:r>
        <w:rPr>
          <w:rFonts w:ascii="Arial" w:cs="Arial" w:eastAsia="Arial" w:hAnsi="Arial"/>
          <w:b/>
          <w:bCs/>
          <w:sz w:val="28"/>
          <w:szCs w:val="28"/>
        </w:rPr>
        <w:t xml:space="preserve">2.2 Visual Rendering</w:t>
      </w:r>
    </w:p>
    <w:p>
      <w:pPr>
        <w:pStyle w:val="Heading3"/>
        <w:spacing w:before="120" w:after="80"/>
      </w:pPr>
      <w:r>
        <w:rPr>
          <w:rFonts w:ascii="Arial" w:cs="Arial" w:eastAsia="Arial" w:hAnsi="Arial"/>
          <w:b/>
          <w:bCs/>
          <w:sz w:val="24"/>
          <w:szCs w:val="24"/>
        </w:rPr>
        <w:t xml:space="preserve">2.2.1 Assembly Cell Rendering</w:t>
      </w:r>
    </w:p>
    <w:p>
      <w:pPr>
        <w:spacing w:after="120"/>
      </w:pPr>
      <w:r>
        <w:rPr>
          <w:rFonts w:ascii="Arial" w:cs="Arial" w:eastAsia="Arial" w:hAnsi="Arial"/>
          <w:sz w:val="22"/>
          <w:szCs w:val="22"/>
        </w:rPr>
        <w:t xml:space="preserve">Each fuel assembly is rendered as a square cell approximately 28x28 pixels (fitting the 15x15 grid into ~450x450 pixel area, with 2px gaps). The cell color encodes the primary display parameter selected by the operator:</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720"/>
        <w:gridCol w:w="3720"/>
      </w:tblGrid>
      <w:tr>
        <w:tc>
          <w:tcPr>
            <w:tcW w:type="dxa" w:w="24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Display Mode</w:t>
            </w:r>
          </w:p>
        </w:tc>
        <w:tc>
          <w:tcPr>
            <w:tcW w:type="dxa" w:w="372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Color Mapping</w:t>
            </w:r>
          </w:p>
        </w:tc>
        <w:tc>
          <w:tcPr>
            <w:tcW w:type="dxa" w:w="372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Data Source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Relative Power</w:t>
            </w:r>
          </w:p>
        </w:tc>
        <w:tc>
          <w:tcPr>
            <w:tcW w:type="dxa" w:w="37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Blue (#0044AA) to Red (#FF2200) continuous gradient</w:t>
            </w:r>
          </w:p>
        </w:tc>
        <w:tc>
          <w:tcPr>
            <w:tcW w:type="dxa" w:w="37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Assembly power fraction from ReactorCore (power distribution model)</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Fuel Temperature</w:t>
            </w:r>
          </w:p>
        </w:tc>
        <w:tc>
          <w:tcPr>
            <w:tcW w:type="dxa" w:w="37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Blue to Yellow to Red (3-stop gradient)</w:t>
            </w:r>
          </w:p>
        </w:tc>
        <w:tc>
          <w:tcPr>
            <w:tcW w:type="dxa" w:w="37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FuelAssembly.CenterlineTemp_F mapped to range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Coolant Temperature</w:t>
            </w:r>
          </w:p>
        </w:tc>
        <w:tc>
          <w:tcPr>
            <w:tcW w:type="dxa" w:w="37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Cyan to Orange gradient</w:t>
            </w:r>
          </w:p>
        </w:tc>
        <w:tc>
          <w:tcPr>
            <w:tcW w:type="dxa" w:w="37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Assembly outlet temperature mapped to range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Rod Bank Overlay</w:t>
            </w:r>
          </w:p>
        </w:tc>
        <w:tc>
          <w:tcPr>
            <w:tcW w:type="dxa" w:w="37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Unique color per bank (see below), unoccupied = grey</w:t>
            </w:r>
          </w:p>
        </w:tc>
        <w:tc>
          <w:tcPr>
            <w:tcW w:type="dxa" w:w="37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ControlRodBank assignment map + position data</w:t>
            </w:r>
          </w:p>
        </w:tc>
      </w:tr>
    </w:tbl>
    <w:p>
      <w:pPr>
        <w:spacing w:after="60"/>
      </w:pPr>
    </w:p>
    <w:p>
      <w:pPr>
        <w:spacing w:after="120"/>
      </w:pPr>
      <w:r>
        <w:rPr>
          <w:rFonts w:ascii="Arial" w:cs="Arial" w:eastAsia="Arial" w:hAnsi="Arial"/>
          <w:sz w:val="22"/>
          <w:szCs w:val="22"/>
        </w:rPr>
        <w:t xml:space="preserve">Default display mode is Relative Power, which provides the most operationally relevant information at a glance.</w:t>
      </w:r>
    </w:p>
    <w:p>
      <w:pPr>
        <w:pStyle w:val="Heading3"/>
        <w:spacing w:before="120" w:after="80"/>
      </w:pPr>
      <w:r>
        <w:rPr>
          <w:rFonts w:ascii="Arial" w:cs="Arial" w:eastAsia="Arial" w:hAnsi="Arial"/>
          <w:b/>
          <w:bCs/>
          <w:sz w:val="24"/>
          <w:szCs w:val="24"/>
        </w:rPr>
        <w:t xml:space="preserve">2.2.2 RCCA Overlay Rendering</w:t>
      </w:r>
    </w:p>
    <w:p>
      <w:pPr>
        <w:spacing w:after="120"/>
      </w:pPr>
      <w:r>
        <w:rPr>
          <w:rFonts w:ascii="Arial" w:cs="Arial" w:eastAsia="Arial" w:hAnsi="Arial"/>
          <w:sz w:val="22"/>
          <w:szCs w:val="22"/>
        </w:rPr>
        <w:t xml:space="preserve">The 53 RCCA locations are overlaid on the core map with bank-specific visual indicators. Each RCCA cell shows:</w:t>
      </w:r>
    </w:p>
    <w:p>
      <w:pPr>
        <w:pStyle w:val="ListParagraph"/>
        <w:numPr>
          <w:ilvl w:val="0"/>
          <w:numId w:val="2"/>
        </w:numPr>
        <w:spacing w:after="60"/>
      </w:pPr>
      <w:r>
        <w:rPr>
          <w:rFonts w:ascii="Arial" w:cs="Arial" w:eastAsia="Arial" w:hAnsi="Arial"/>
          <w:b/>
          <w:bCs/>
          <w:sz w:val="22"/>
          <w:szCs w:val="22"/>
        </w:rPr>
        <w:t xml:space="preserve">Bank letter label </w:t>
      </w:r>
      <w:r>
        <w:rPr>
          <w:rFonts w:ascii="Arial" w:cs="Arial" w:eastAsia="Arial" w:hAnsi="Arial"/>
          <w:sz w:val="22"/>
          <w:szCs w:val="22"/>
        </w:rPr>
        <w:t xml:space="preserve">(SA, SB, SC, SD, D, C, B, A) in the cell corner, using bank color</w:t>
      </w:r>
    </w:p>
    <w:p>
      <w:pPr>
        <w:pStyle w:val="ListParagraph"/>
        <w:numPr>
          <w:ilvl w:val="0"/>
          <w:numId w:val="2"/>
        </w:numPr>
        <w:spacing w:after="60"/>
      </w:pPr>
      <w:r>
        <w:rPr>
          <w:rFonts w:ascii="Arial" w:cs="Arial" w:eastAsia="Arial" w:hAnsi="Arial"/>
          <w:b/>
          <w:bCs/>
          <w:sz w:val="22"/>
          <w:szCs w:val="22"/>
        </w:rPr>
        <w:t xml:space="preserve">Insertion indicator </w:t>
      </w:r>
      <w:r>
        <w:rPr>
          <w:rFonts w:ascii="Arial" w:cs="Arial" w:eastAsia="Arial" w:hAnsi="Arial"/>
          <w:sz w:val="22"/>
          <w:szCs w:val="22"/>
        </w:rPr>
        <w:t xml:space="preserve">— a vertical fill bar within the cell showing rod position (0 = full bar from top = fully inserted, 228 = empty = fully withdrawn)</w:t>
      </w:r>
    </w:p>
    <w:p>
      <w:pPr>
        <w:pStyle w:val="ListParagraph"/>
        <w:numPr>
          <w:ilvl w:val="0"/>
          <w:numId w:val="2"/>
        </w:numPr>
        <w:spacing w:after="60"/>
      </w:pPr>
      <w:r>
        <w:rPr>
          <w:rFonts w:ascii="Arial" w:cs="Arial" w:eastAsia="Arial" w:hAnsi="Arial"/>
          <w:b/>
          <w:bCs/>
          <w:sz w:val="22"/>
          <w:szCs w:val="22"/>
        </w:rPr>
        <w:t xml:space="preserve">Motion indicator </w:t>
      </w:r>
      <w:r>
        <w:rPr>
          <w:rFonts w:ascii="Arial" w:cs="Arial" w:eastAsia="Arial" w:hAnsi="Arial"/>
          <w:sz w:val="22"/>
          <w:szCs w:val="22"/>
        </w:rPr>
        <w:t xml:space="preserve">— subtle pulse animation when bank is actively moving (withdrawing or inserting)</w:t>
      </w:r>
    </w:p>
    <w:p>
      <w:pPr>
        <w:spacing w:after="60"/>
      </w:pPr>
    </w:p>
    <w:p>
      <w:pPr>
        <w:spacing w:after="120"/>
      </w:pPr>
      <w:r>
        <w:rPr>
          <w:rFonts w:ascii="Arial" w:cs="Arial" w:eastAsia="Arial" w:hAnsi="Arial"/>
          <w:b/>
          <w:bCs/>
          <w:sz w:val="22"/>
          <w:szCs w:val="22"/>
        </w:rPr>
        <w:t xml:space="preserve">Bank color assignments: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640"/>
      </w:tblGrid>
      <w:tr>
        <w:tc>
          <w:tcPr>
            <w:tcW w:type="dxa" w:w="12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Bank</w:t>
            </w:r>
          </w:p>
        </w:tc>
        <w:tc>
          <w:tcPr>
            <w:tcW w:type="dxa" w:w="20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Hex Color</w:t>
            </w:r>
          </w:p>
        </w:tc>
        <w:tc>
          <w:tcPr>
            <w:tcW w:type="dxa" w:w="20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Description</w:t>
            </w:r>
          </w:p>
        </w:tc>
        <w:tc>
          <w:tcPr>
            <w:tcW w:type="dxa" w:w="46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Visual Notes</w:t>
            </w:r>
          </w:p>
        </w:tc>
      </w:tr>
      <w:tr>
        <w:tc>
          <w:tcPr>
            <w:tcW w:type="dxa" w:w="1200"/>
            <w:tcBorders>
              <w:top w:val="single" w:color="999999" w:sz="1"/>
              <w:left w:val="single" w:color="999999" w:sz="1"/>
              <w:bottom w:val="single" w:color="999999" w:sz="1"/>
              <w:right w:val="single" w:color="999999" w:sz="1"/>
            </w:tcBorders>
            <w:shd w:fill="B2DFDB" w:val="clear"/>
            <w:tcMar>
              <w:top w:type="dxa" w:w="60"/>
              <w:left w:type="dxa" w:w="100"/>
              <w:bottom w:type="dxa" w:w="60"/>
              <w:right w:type="dxa" w:w="100"/>
            </w:tcMar>
          </w:tcPr>
          <w:p>
            <w:r>
              <w:rPr>
                <w:rFonts w:ascii="Arial" w:cs="Arial" w:eastAsia="Arial" w:hAnsi="Arial"/>
                <w:sz w:val="20"/>
                <w:szCs w:val="20"/>
              </w:rPr>
              <w:t xml:space="preserve">SA</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#009688</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Teal</w:t>
            </w:r>
          </w:p>
        </w:tc>
        <w:tc>
          <w:tcPr>
            <w:tcW w:type="dxa" w:w="4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Shutdown banks use cool tones</w:t>
            </w:r>
          </w:p>
        </w:tc>
      </w:tr>
      <w:tr>
        <w:tc>
          <w:tcPr>
            <w:tcW w:type="dxa" w:w="1200"/>
            <w:tcBorders>
              <w:top w:val="single" w:color="999999" w:sz="1"/>
              <w:left w:val="single" w:color="999999" w:sz="1"/>
              <w:bottom w:val="single" w:color="999999" w:sz="1"/>
              <w:right w:val="single" w:color="999999" w:sz="1"/>
            </w:tcBorders>
            <w:shd w:fill="B2DFDB" w:val="clear"/>
            <w:tcMar>
              <w:top w:type="dxa" w:w="60"/>
              <w:left w:type="dxa" w:w="100"/>
              <w:bottom w:type="dxa" w:w="60"/>
              <w:right w:type="dxa" w:w="100"/>
            </w:tcMar>
          </w:tcPr>
          <w:p>
            <w:r>
              <w:rPr>
                <w:rFonts w:ascii="Arial" w:cs="Arial" w:eastAsia="Arial" w:hAnsi="Arial"/>
                <w:sz w:val="20"/>
                <w:szCs w:val="20"/>
              </w:rPr>
              <w:t xml:space="preserve">SB</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#26A69A</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Light Teal</w:t>
            </w:r>
          </w:p>
        </w:tc>
        <w:tc>
          <w:tcPr>
            <w:tcW w:type="dxa" w:w="4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Distinguishable from SA</w:t>
            </w:r>
          </w:p>
        </w:tc>
      </w:tr>
      <w:tr>
        <w:tc>
          <w:tcPr>
            <w:tcW w:type="dxa" w:w="1200"/>
            <w:tcBorders>
              <w:top w:val="single" w:color="999999" w:sz="1"/>
              <w:left w:val="single" w:color="999999" w:sz="1"/>
              <w:bottom w:val="single" w:color="999999" w:sz="1"/>
              <w:right w:val="single" w:color="999999" w:sz="1"/>
            </w:tcBorders>
            <w:shd w:fill="C8E6C9" w:val="clear"/>
            <w:tcMar>
              <w:top w:type="dxa" w:w="60"/>
              <w:left w:type="dxa" w:w="100"/>
              <w:bottom w:type="dxa" w:w="60"/>
              <w:right w:type="dxa" w:w="100"/>
            </w:tcMar>
          </w:tcPr>
          <w:p>
            <w:r>
              <w:rPr>
                <w:rFonts w:ascii="Arial" w:cs="Arial" w:eastAsia="Arial" w:hAnsi="Arial"/>
                <w:sz w:val="20"/>
                <w:szCs w:val="20"/>
              </w:rPr>
              <w:t xml:space="preserve">SC</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#66BB6A</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Green</w:t>
            </w:r>
          </w:p>
        </w:tc>
        <w:tc>
          <w:tcPr>
            <w:tcW w:type="dxa" w:w="4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Fewer assemblies (4), needs visibility</w:t>
            </w:r>
          </w:p>
        </w:tc>
      </w:tr>
      <w:tr>
        <w:tc>
          <w:tcPr>
            <w:tcW w:type="dxa" w:w="1200"/>
            <w:tcBorders>
              <w:top w:val="single" w:color="999999" w:sz="1"/>
              <w:left w:val="single" w:color="999999" w:sz="1"/>
              <w:bottom w:val="single" w:color="999999" w:sz="1"/>
              <w:right w:val="single" w:color="999999" w:sz="1"/>
            </w:tcBorders>
            <w:shd w:fill="C8E6C9" w:val="clear"/>
            <w:tcMar>
              <w:top w:type="dxa" w:w="60"/>
              <w:left w:type="dxa" w:w="100"/>
              <w:bottom w:type="dxa" w:w="60"/>
              <w:right w:type="dxa" w:w="100"/>
            </w:tcMar>
          </w:tcPr>
          <w:p>
            <w:r>
              <w:rPr>
                <w:rFonts w:ascii="Arial" w:cs="Arial" w:eastAsia="Arial" w:hAnsi="Arial"/>
                <w:sz w:val="20"/>
                <w:szCs w:val="20"/>
              </w:rPr>
              <w:t xml:space="preserve">SD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#43A047</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Dark Green</w:t>
            </w:r>
          </w:p>
        </w:tc>
        <w:tc>
          <w:tcPr>
            <w:tcW w:type="dxa" w:w="4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Last shutdown bank, transition tone</w:t>
            </w:r>
          </w:p>
        </w:tc>
      </w:tr>
      <w:tr>
        <w:tc>
          <w:tcPr>
            <w:tcW w:type="dxa" w:w="1200"/>
            <w:tcBorders>
              <w:top w:val="single" w:color="999999" w:sz="1"/>
              <w:left w:val="single" w:color="999999" w:sz="1"/>
              <w:bottom w:val="single" w:color="999999" w:sz="1"/>
              <w:right w:val="single" w:color="999999" w:sz="1"/>
            </w:tcBorders>
            <w:shd w:fill="BBDEFB" w:val="clear"/>
            <w:tcMar>
              <w:top w:type="dxa" w:w="60"/>
              <w:left w:type="dxa" w:w="100"/>
              <w:bottom w:type="dxa" w:w="60"/>
              <w:right w:type="dxa" w:w="100"/>
            </w:tcMar>
          </w:tcPr>
          <w:p>
            <w:r>
              <w:rPr>
                <w:rFonts w:ascii="Arial" w:cs="Arial" w:eastAsia="Arial" w:hAnsi="Arial"/>
                <w:sz w:val="20"/>
                <w:szCs w:val="20"/>
              </w:rPr>
              <w:t xml:space="preserve">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#42A5F5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Blue</w:t>
            </w:r>
          </w:p>
        </w:tc>
        <w:tc>
          <w:tcPr>
            <w:tcW w:type="dxa" w:w="4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Lead control bank. Most visible — largest bank (9).</w:t>
            </w:r>
          </w:p>
        </w:tc>
      </w:tr>
      <w:tr>
        <w:tc>
          <w:tcPr>
            <w:tcW w:type="dxa" w:w="1200"/>
            <w:tcBorders>
              <w:top w:val="single" w:color="999999" w:sz="1"/>
              <w:left w:val="single" w:color="999999" w:sz="1"/>
              <w:bottom w:val="single" w:color="999999" w:sz="1"/>
              <w:right w:val="single" w:color="999999" w:sz="1"/>
            </w:tcBorders>
            <w:shd w:fill="C5CAE9" w:val="clear"/>
            <w:tcMar>
              <w:top w:type="dxa" w:w="60"/>
              <w:left w:type="dxa" w:w="100"/>
              <w:bottom w:type="dxa" w:w="60"/>
              <w:right w:type="dxa" w:w="100"/>
            </w:tcMar>
          </w:tcPr>
          <w:p>
            <w:r>
              <w:rPr>
                <w:rFonts w:ascii="Arial" w:cs="Arial" w:eastAsia="Arial" w:hAnsi="Arial"/>
                <w:sz w:val="20"/>
                <w:szCs w:val="20"/>
              </w:rPr>
              <w:t xml:space="preserve">C</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#7E57C2</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Purple</w:t>
            </w:r>
          </w:p>
        </w:tc>
        <w:tc>
          <w:tcPr>
            <w:tcW w:type="dxa" w:w="4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Overlap bank, 9 assemblies</w:t>
            </w:r>
          </w:p>
        </w:tc>
      </w:tr>
      <w:tr>
        <w:tc>
          <w:tcPr>
            <w:tcW w:type="dxa" w:w="1200"/>
            <w:tcBorders>
              <w:top w:val="single" w:color="999999" w:sz="1"/>
              <w:left w:val="single" w:color="999999" w:sz="1"/>
              <w:bottom w:val="single" w:color="999999" w:sz="1"/>
              <w:right w:val="single" w:color="999999" w:sz="1"/>
            </w:tcBorders>
            <w:shd w:fill="F8BBD0" w:val="clear"/>
            <w:tcMar>
              <w:top w:type="dxa" w:w="60"/>
              <w:left w:type="dxa" w:w="100"/>
              <w:bottom w:type="dxa" w:w="60"/>
              <w:right w:type="dxa" w:w="100"/>
            </w:tcMar>
          </w:tcPr>
          <w:p>
            <w:r>
              <w:rPr>
                <w:rFonts w:ascii="Arial" w:cs="Arial" w:eastAsia="Arial" w:hAnsi="Arial"/>
                <w:sz w:val="20"/>
                <w:szCs w:val="20"/>
              </w:rPr>
              <w:t xml:space="preserve">B</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#EC407A</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Pink</w:t>
            </w:r>
          </w:p>
        </w:tc>
        <w:tc>
          <w:tcPr>
            <w:tcW w:type="dxa" w:w="4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Deep reduction bank, 8 assemblies</w:t>
            </w:r>
          </w:p>
        </w:tc>
      </w:tr>
      <w:tr>
        <w:tc>
          <w:tcPr>
            <w:tcW w:type="dxa" w:w="1200"/>
            <w:tcBorders>
              <w:top w:val="single" w:color="999999" w:sz="1"/>
              <w:left w:val="single" w:color="999999" w:sz="1"/>
              <w:bottom w:val="single" w:color="999999" w:sz="1"/>
              <w:right w:val="single" w:color="999999" w:sz="1"/>
            </w:tcBorders>
            <w:shd w:fill="FFECB3" w:val="clear"/>
            <w:tcMar>
              <w:top w:type="dxa" w:w="60"/>
              <w:left w:type="dxa" w:w="100"/>
              <w:bottom w:type="dxa" w:w="60"/>
              <w:right w:type="dxa" w:w="100"/>
            </w:tcMar>
          </w:tcPr>
          <w:p>
            <w:r>
              <w:rPr>
                <w:rFonts w:ascii="Arial" w:cs="Arial" w:eastAsia="Arial" w:hAnsi="Arial"/>
                <w:sz w:val="20"/>
                <w:szCs w:val="20"/>
              </w:rPr>
              <w:t xml:space="preserve">A</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#FFA726</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Orange</w:t>
            </w:r>
          </w:p>
        </w:tc>
        <w:tc>
          <w:tcPr>
            <w:tcW w:type="dxa" w:w="4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Lead reduction bank, 4 assemblies. Warm tone for regulating bank.</w:t>
            </w:r>
          </w:p>
        </w:tc>
      </w:tr>
    </w:tbl>
    <w:p>
      <w:pPr>
        <w:pStyle w:val="Heading3"/>
        <w:spacing w:before="120" w:after="80"/>
      </w:pPr>
      <w:r>
        <w:rPr>
          <w:rFonts w:ascii="Arial" w:cs="Arial" w:eastAsia="Arial" w:hAnsi="Arial"/>
          <w:b/>
          <w:bCs/>
          <w:sz w:val="24"/>
          <w:szCs w:val="24"/>
        </w:rPr>
        <w:t xml:space="preserve">2.2.3 Interactive Behavior</w:t>
      </w:r>
    </w:p>
    <w:p>
      <w:pPr>
        <w:spacing w:after="120"/>
      </w:pPr>
      <w:r>
        <w:rPr>
          <w:rFonts w:ascii="Arial" w:cs="Arial" w:eastAsia="Arial" w:hAnsi="Arial"/>
          <w:sz w:val="22"/>
          <w:szCs w:val="22"/>
        </w:rPr>
        <w:t xml:space="preserve">The core map supports the following interaction modes, designed to maximize information density within the limited 1920x1080 space:</w:t>
      </w:r>
    </w:p>
    <w:p>
      <w:pPr>
        <w:spacing w:after="60"/>
      </w:pPr>
    </w:p>
    <w:p>
      <w:pPr>
        <w:spacing w:after="120"/>
      </w:pPr>
      <w:r>
        <w:rPr>
          <w:rFonts w:ascii="Arial" w:cs="Arial" w:eastAsia="Arial" w:hAnsi="Arial"/>
          <w:b/>
          <w:bCs/>
          <w:sz w:val="22"/>
          <w:szCs w:val="22"/>
        </w:rPr>
        <w:t xml:space="preserve">Hover (Mouse Over Assembly):</w:t>
      </w:r>
    </w:p>
    <w:p>
      <w:pPr>
        <w:pStyle w:val="ListParagraph"/>
        <w:numPr>
          <w:ilvl w:val="0"/>
          <w:numId w:val="2"/>
        </w:numPr>
        <w:spacing w:after="60"/>
      </w:pPr>
      <w:r>
        <w:rPr>
          <w:rFonts w:ascii="Arial" w:cs="Arial" w:eastAsia="Arial" w:hAnsi="Arial"/>
          <w:sz w:val="22"/>
          <w:szCs w:val="22"/>
        </w:rPr>
        <w:t xml:space="preserve">Tooltip displays: Assembly grid position (e.g., H-8), relative power, fuel centerline temperature, coolant outlet temperature, and RCCA bank/position if applicable</w:t>
      </w:r>
    </w:p>
    <w:p>
      <w:pPr>
        <w:pStyle w:val="ListParagraph"/>
        <w:numPr>
          <w:ilvl w:val="0"/>
          <w:numId w:val="2"/>
        </w:numPr>
        <w:spacing w:after="60"/>
      </w:pPr>
      <w:r>
        <w:rPr>
          <w:rFonts w:ascii="Arial" w:cs="Arial" w:eastAsia="Arial" w:hAnsi="Arial"/>
          <w:sz w:val="22"/>
          <w:szCs w:val="22"/>
        </w:rPr>
        <w:t xml:space="preserve">Highlighted assembly cell gets a bright border outline (cyan)</w:t>
      </w:r>
    </w:p>
    <w:p>
      <w:pPr>
        <w:spacing w:after="60"/>
      </w:pPr>
    </w:p>
    <w:p>
      <w:pPr>
        <w:spacing w:after="120"/>
      </w:pPr>
      <w:r>
        <w:rPr>
          <w:rFonts w:ascii="Arial" w:cs="Arial" w:eastAsia="Arial" w:hAnsi="Arial"/>
          <w:b/>
          <w:bCs/>
          <w:sz w:val="22"/>
          <w:szCs w:val="22"/>
        </w:rPr>
        <w:t xml:space="preserve">Click (Select Assembly):</w:t>
      </w:r>
    </w:p>
    <w:p>
      <w:pPr>
        <w:pStyle w:val="ListParagraph"/>
        <w:numPr>
          <w:ilvl w:val="0"/>
          <w:numId w:val="2"/>
        </w:numPr>
        <w:spacing w:after="60"/>
      </w:pPr>
      <w:r>
        <w:rPr>
          <w:rFonts w:ascii="Arial" w:cs="Arial" w:eastAsia="Arial" w:hAnsi="Arial"/>
          <w:sz w:val="22"/>
          <w:szCs w:val="22"/>
        </w:rPr>
        <w:t xml:space="preserve">Locks the detail panel (see 2.3) to show expanded data for this assembly</w:t>
      </w:r>
    </w:p>
    <w:p>
      <w:pPr>
        <w:pStyle w:val="ListParagraph"/>
        <w:numPr>
          <w:ilvl w:val="0"/>
          <w:numId w:val="2"/>
        </w:numPr>
        <w:spacing w:after="60"/>
      </w:pPr>
      <w:r>
        <w:rPr>
          <w:rFonts w:ascii="Arial" w:cs="Arial" w:eastAsia="Arial" w:hAnsi="Arial"/>
          <w:sz w:val="22"/>
          <w:szCs w:val="22"/>
        </w:rPr>
        <w:t xml:space="preserve">If the assembly has an RCCA, highlights ALL assemblies in the same bank with a bank-colored border glow</w:t>
      </w:r>
    </w:p>
    <w:p>
      <w:pPr>
        <w:pStyle w:val="ListParagraph"/>
        <w:numPr>
          <w:ilvl w:val="0"/>
          <w:numId w:val="2"/>
        </w:numPr>
        <w:spacing w:after="60"/>
      </w:pPr>
      <w:r>
        <w:rPr>
          <w:rFonts w:ascii="Arial" w:cs="Arial" w:eastAsia="Arial" w:hAnsi="Arial"/>
          <w:sz w:val="22"/>
          <w:szCs w:val="22"/>
        </w:rPr>
        <w:t xml:space="preserve">Click again or click empty space to deselect</w:t>
      </w:r>
    </w:p>
    <w:p>
      <w:pPr>
        <w:spacing w:after="60"/>
      </w:pPr>
    </w:p>
    <w:p>
      <w:pPr>
        <w:spacing w:after="120"/>
      </w:pPr>
      <w:r>
        <w:rPr>
          <w:rFonts w:ascii="Arial" w:cs="Arial" w:eastAsia="Arial" w:hAnsi="Arial"/>
          <w:b/>
          <w:bCs/>
          <w:sz w:val="22"/>
          <w:szCs w:val="22"/>
        </w:rPr>
        <w:t xml:space="preserve">Bank Filter Buttons (Below Core Map):</w:t>
      </w:r>
    </w:p>
    <w:p>
      <w:pPr>
        <w:pStyle w:val="ListParagraph"/>
        <w:numPr>
          <w:ilvl w:val="0"/>
          <w:numId w:val="2"/>
        </w:numPr>
        <w:spacing w:after="60"/>
      </w:pPr>
      <w:r>
        <w:rPr>
          <w:rFonts w:ascii="Arial" w:cs="Arial" w:eastAsia="Arial" w:hAnsi="Arial"/>
          <w:sz w:val="22"/>
          <w:szCs w:val="22"/>
        </w:rPr>
        <w:t xml:space="preserve">Row of 8 bank toggle buttons: SA | SB | SC | SD | D | C | B | A</w:t>
      </w:r>
    </w:p>
    <w:p>
      <w:pPr>
        <w:pStyle w:val="ListParagraph"/>
        <w:numPr>
          <w:ilvl w:val="0"/>
          <w:numId w:val="2"/>
        </w:numPr>
        <w:spacing w:after="60"/>
      </w:pPr>
      <w:r>
        <w:rPr>
          <w:rFonts w:ascii="Arial" w:cs="Arial" w:eastAsia="Arial" w:hAnsi="Arial"/>
          <w:sz w:val="22"/>
          <w:szCs w:val="22"/>
        </w:rPr>
        <w:t xml:space="preserve">Clicking a bank button highlights all RCCA locations for that bank on the core map with bright bank-colored outlines</w:t>
      </w:r>
    </w:p>
    <w:p>
      <w:pPr>
        <w:pStyle w:val="ListParagraph"/>
        <w:numPr>
          <w:ilvl w:val="0"/>
          <w:numId w:val="2"/>
        </w:numPr>
        <w:spacing w:after="60"/>
      </w:pPr>
      <w:r>
        <w:rPr>
          <w:rFonts w:ascii="Arial" w:cs="Arial" w:eastAsia="Arial" w:hAnsi="Arial"/>
          <w:sz w:val="22"/>
          <w:szCs w:val="22"/>
        </w:rPr>
        <w:t xml:space="preserve">Non-selected bank assemblies dim slightly (60% opacity) to provide visual contrast</w:t>
      </w:r>
    </w:p>
    <w:p>
      <w:pPr>
        <w:pStyle w:val="ListParagraph"/>
        <w:numPr>
          <w:ilvl w:val="0"/>
          <w:numId w:val="2"/>
        </w:numPr>
        <w:spacing w:after="60"/>
      </w:pPr>
      <w:r>
        <w:rPr>
          <w:rFonts w:ascii="Arial" w:cs="Arial" w:eastAsia="Arial" w:hAnsi="Arial"/>
          <w:sz w:val="22"/>
          <w:szCs w:val="22"/>
        </w:rPr>
        <w:t xml:space="preserve">Multiple banks can be selected simultaneously (toggle behavior)</w:t>
      </w:r>
    </w:p>
    <w:p>
      <w:pPr>
        <w:pStyle w:val="ListParagraph"/>
        <w:numPr>
          <w:ilvl w:val="0"/>
          <w:numId w:val="2"/>
        </w:numPr>
        <w:spacing w:after="60"/>
      </w:pPr>
      <w:r>
        <w:rPr>
          <w:rFonts w:ascii="Arial" w:cs="Arial" w:eastAsia="Arial" w:hAnsi="Arial"/>
          <w:sz w:val="22"/>
          <w:szCs w:val="22"/>
        </w:rPr>
        <w:t xml:space="preserve">'ALL' button selects/deselects all banks. 'CTRL' button selects only control banks. 'SD' button selects only shutdown banks.</w:t>
      </w:r>
    </w:p>
    <w:p>
      <w:pPr>
        <w:spacing w:after="60"/>
      </w:pPr>
    </w:p>
    <w:p>
      <w:pPr>
        <w:spacing w:after="120"/>
      </w:pPr>
      <w:r>
        <w:rPr>
          <w:rFonts w:ascii="Arial" w:cs="Arial" w:eastAsia="Arial" w:hAnsi="Arial"/>
          <w:b/>
          <w:bCs/>
          <w:sz w:val="22"/>
          <w:szCs w:val="22"/>
        </w:rPr>
        <w:t xml:space="preserve">Display Mode Selector (Above Core Map):</w:t>
      </w:r>
    </w:p>
    <w:p>
      <w:pPr>
        <w:pStyle w:val="ListParagraph"/>
        <w:numPr>
          <w:ilvl w:val="0"/>
          <w:numId w:val="2"/>
        </w:numPr>
        <w:spacing w:after="60"/>
      </w:pPr>
      <w:r>
        <w:rPr>
          <w:rFonts w:ascii="Arial" w:cs="Arial" w:eastAsia="Arial" w:hAnsi="Arial"/>
          <w:sz w:val="22"/>
          <w:szCs w:val="22"/>
        </w:rPr>
        <w:t xml:space="preserve">Toggle buttons for display mode: POWER | FUEL TEMP | COOLANT TEMP | BANK MAP</w:t>
      </w:r>
    </w:p>
    <w:p>
      <w:pPr>
        <w:pStyle w:val="ListParagraph"/>
        <w:numPr>
          <w:ilvl w:val="0"/>
          <w:numId w:val="2"/>
        </w:numPr>
        <w:spacing w:after="60"/>
      </w:pPr>
      <w:r>
        <w:rPr>
          <w:rFonts w:ascii="Arial" w:cs="Arial" w:eastAsia="Arial" w:hAnsi="Arial"/>
          <w:sz w:val="22"/>
          <w:szCs w:val="22"/>
        </w:rPr>
        <w:t xml:space="preserve">Changes the color-coding basis for all 193 cells</w:t>
      </w:r>
    </w:p>
    <w:p>
      <w:pPr>
        <w:pStyle w:val="ListParagraph"/>
        <w:numPr>
          <w:ilvl w:val="0"/>
          <w:numId w:val="2"/>
        </w:numPr>
        <w:spacing w:after="60"/>
      </w:pPr>
      <w:r>
        <w:rPr>
          <w:rFonts w:ascii="Arial" w:cs="Arial" w:eastAsia="Arial" w:hAnsi="Arial"/>
          <w:sz w:val="22"/>
          <w:szCs w:val="22"/>
        </w:rPr>
        <w:t xml:space="preserve">BANK MAP mode shows assemblies colored by bank assignment (using bank colors above), fuel-only assemblies in neutral grey</w:t>
      </w:r>
    </w:p>
    <w:p>
      <w:pPr>
        <w:pStyle w:val="Heading2"/>
      </w:pPr>
      <w:r>
        <w:rPr>
          <w:rFonts w:ascii="Arial" w:cs="Arial" w:eastAsia="Arial" w:hAnsi="Arial"/>
          <w:b/>
          <w:bCs/>
          <w:sz w:val="28"/>
          <w:szCs w:val="28"/>
        </w:rPr>
        <w:t xml:space="preserve">2.3 Assembly Detail Panel</w:t>
      </w:r>
    </w:p>
    <w:p>
      <w:pPr>
        <w:spacing w:after="120"/>
      </w:pPr>
      <w:r>
        <w:rPr>
          <w:rFonts w:ascii="Arial" w:cs="Arial" w:eastAsia="Arial" w:hAnsi="Arial"/>
          <w:sz w:val="22"/>
          <w:szCs w:val="22"/>
        </w:rPr>
        <w:t xml:space="preserve">When an assembly is selected (clicked), a detail panel appears adjacent to the core map showing comprehensive data for that assembly. This panel replaces the need for a separate drill-down screen.</w:t>
      </w:r>
    </w:p>
    <w:p>
      <w:pPr>
        <w:spacing w:after="60"/>
      </w:pPr>
    </w:p>
    <w:p>
      <w:pPr>
        <w:spacing w:after="120"/>
      </w:pPr>
      <w:r>
        <w:rPr>
          <w:rFonts w:ascii="Arial" w:cs="Arial" w:eastAsia="Arial" w:hAnsi="Arial"/>
          <w:b/>
          <w:bCs/>
          <w:sz w:val="22"/>
          <w:szCs w:val="22"/>
        </w:rPr>
        <w:t xml:space="preserve">Panel contents:</w:t>
      </w:r>
    </w:p>
    <w:p>
      <w:pPr>
        <w:pStyle w:val="ListParagraph"/>
        <w:numPr>
          <w:ilvl w:val="0"/>
          <w:numId w:val="2"/>
        </w:numPr>
        <w:spacing w:after="60"/>
      </w:pPr>
      <w:r>
        <w:rPr>
          <w:rFonts w:ascii="Arial" w:cs="Arial" w:eastAsia="Arial" w:hAnsi="Arial"/>
          <w:sz w:val="22"/>
          <w:szCs w:val="22"/>
        </w:rPr>
        <w:t xml:space="preserve">Grid position and assembly index (e.g., H-8, Assembly #97)</w:t>
      </w:r>
    </w:p>
    <w:p>
      <w:pPr>
        <w:pStyle w:val="ListParagraph"/>
        <w:numPr>
          <w:ilvl w:val="0"/>
          <w:numId w:val="2"/>
        </w:numPr>
        <w:spacing w:after="60"/>
      </w:pPr>
      <w:r>
        <w:rPr>
          <w:rFonts w:ascii="Arial" w:cs="Arial" w:eastAsia="Arial" w:hAnsi="Arial"/>
          <w:sz w:val="22"/>
          <w:szCs w:val="22"/>
        </w:rPr>
        <w:t xml:space="preserve">Assembly type: Fuel, RCCA (with bank ID), BPRA, Source</w:t>
      </w:r>
    </w:p>
    <w:p>
      <w:pPr>
        <w:pStyle w:val="ListParagraph"/>
        <w:numPr>
          <w:ilvl w:val="0"/>
          <w:numId w:val="2"/>
        </w:numPr>
        <w:spacing w:after="60"/>
      </w:pPr>
      <w:r>
        <w:rPr>
          <w:rFonts w:ascii="Arial" w:cs="Arial" w:eastAsia="Arial" w:hAnsi="Arial"/>
          <w:sz w:val="22"/>
          <w:szCs w:val="22"/>
        </w:rPr>
        <w:t xml:space="preserve">Relative power factor</w:t>
      </w:r>
    </w:p>
    <w:p>
      <w:pPr>
        <w:pStyle w:val="ListParagraph"/>
        <w:numPr>
          <w:ilvl w:val="0"/>
          <w:numId w:val="2"/>
        </w:numPr>
        <w:spacing w:after="60"/>
      </w:pPr>
      <w:r>
        <w:rPr>
          <w:rFonts w:ascii="Arial" w:cs="Arial" w:eastAsia="Arial" w:hAnsi="Arial"/>
          <w:sz w:val="22"/>
          <w:szCs w:val="22"/>
        </w:rPr>
        <w:t xml:space="preserve">Fuel centerline temperature (°F)</w:t>
      </w:r>
    </w:p>
    <w:p>
      <w:pPr>
        <w:pStyle w:val="ListParagraph"/>
        <w:numPr>
          <w:ilvl w:val="0"/>
          <w:numId w:val="2"/>
        </w:numPr>
        <w:spacing w:after="60"/>
      </w:pPr>
      <w:r>
        <w:rPr>
          <w:rFonts w:ascii="Arial" w:cs="Arial" w:eastAsia="Arial" w:hAnsi="Arial"/>
          <w:sz w:val="22"/>
          <w:szCs w:val="22"/>
        </w:rPr>
        <w:t xml:space="preserve">Coolant outlet temperature (°F)</w:t>
      </w:r>
    </w:p>
    <w:p>
      <w:pPr>
        <w:pStyle w:val="ListParagraph"/>
        <w:numPr>
          <w:ilvl w:val="0"/>
          <w:numId w:val="2"/>
        </w:numPr>
        <w:spacing w:after="60"/>
      </w:pPr>
      <w:r>
        <w:rPr>
          <w:rFonts w:ascii="Arial" w:cs="Arial" w:eastAsia="Arial" w:hAnsi="Arial"/>
          <w:sz w:val="22"/>
          <w:szCs w:val="22"/>
        </w:rPr>
        <w:t xml:space="preserve">If RCCA: Rod position (steps), bank total worth (pcm), bank insertion reactivity (pcm), motion status</w:t>
      </w:r>
    </w:p>
    <w:p>
      <w:pPr>
        <w:pStyle w:val="ListParagraph"/>
        <w:numPr>
          <w:ilvl w:val="0"/>
          <w:numId w:val="2"/>
        </w:numPr>
        <w:spacing w:after="60"/>
      </w:pPr>
      <w:r>
        <w:rPr>
          <w:rFonts w:ascii="Arial" w:cs="Arial" w:eastAsia="Arial" w:hAnsi="Arial"/>
          <w:sz w:val="22"/>
          <w:szCs w:val="22"/>
        </w:rPr>
        <w:t xml:space="preserve">Mini radial temperature profile graphic: fuel centerline → pellet surface → gap → clad → coolant</w:t>
      </w:r>
    </w:p>
    <w:p>
      <w:r>
        <w:br w:type="page"/>
      </w:r>
    </w:p>
    <w:p>
      <w:pPr>
        <w:pStyle w:val="Heading1"/>
      </w:pPr>
      <w:r>
        <w:rPr>
          <w:rFonts w:ascii="Arial" w:cs="Arial" w:eastAsia="Arial" w:hAnsi="Arial"/>
          <w:b/>
          <w:bCs/>
          <w:sz w:val="32"/>
          <w:szCs w:val="32"/>
        </w:rPr>
        <w:t xml:space="preserve">3. Instrument Gauge Columns</w:t>
      </w:r>
    </w:p>
    <w:p>
      <w:pPr>
        <w:pStyle w:val="Heading2"/>
      </w:pPr>
      <w:r>
        <w:rPr>
          <w:rFonts w:ascii="Arial" w:cs="Arial" w:eastAsia="Arial" w:hAnsi="Arial"/>
          <w:b/>
          <w:bCs/>
          <w:sz w:val="28"/>
          <w:szCs w:val="28"/>
        </w:rPr>
        <w:t xml:space="preserve">3.1 Left Column — Nuclear Instrumentation</w:t>
      </w:r>
    </w:p>
    <w:p>
      <w:pPr>
        <w:spacing w:after="120"/>
      </w:pPr>
      <w:r>
        <w:rPr>
          <w:rFonts w:ascii="Arial" w:cs="Arial" w:eastAsia="Arial" w:hAnsi="Arial"/>
          <w:sz w:val="22"/>
          <w:szCs w:val="22"/>
        </w:rPr>
        <w:t xml:space="preserve">The left gauge column presents all nuclear/reactivity parameters. These are the parameters a reactor operator monitors to understand the neutronic state of the core. Arranged top-to-bottom by operational priority:</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640"/>
      </w:tblGrid>
      <w:tr>
        <w:tc>
          <w:tcPr>
            <w:tcW w:type="dxa" w:w="22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Parameter</w:t>
            </w:r>
          </w:p>
        </w:tc>
        <w:tc>
          <w:tcPr>
            <w:tcW w:type="dxa" w:w="14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Unit</w:t>
            </w:r>
          </w:p>
        </w:tc>
        <w:tc>
          <w:tcPr>
            <w:tcW w:type="dxa" w:w="16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Range</w:t>
            </w:r>
          </w:p>
        </w:tc>
        <w:tc>
          <w:tcPr>
            <w:tcW w:type="dxa" w:w="46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Source Property</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Neutron Power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0 - 120%</w:t>
            </w:r>
          </w:p>
        </w:tc>
        <w:tc>
          <w:tcPr>
            <w:tcW w:type="dxa" w:w="4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ReactorController.NeutronPower * 100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Thermal Power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MWt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0 - 3800</w:t>
            </w:r>
          </w:p>
        </w:tc>
        <w:tc>
          <w:tcPr>
            <w:tcW w:type="dxa" w:w="4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ReactorController.ThermalPower_MWt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Startup Rate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DPM</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 to +1</w:t>
            </w:r>
          </w:p>
        </w:tc>
        <w:tc>
          <w:tcPr>
            <w:tcW w:type="dxa" w:w="4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ReactorController.StartupRate_DPM</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Reactor Period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-999 to +999</w:t>
            </w:r>
          </w:p>
        </w:tc>
        <w:tc>
          <w:tcPr>
            <w:tcW w:type="dxa" w:w="4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ReactorController.ReactorPeriod (clamped)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Total Reactivity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pcm</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-10000 to +1000</w:t>
            </w:r>
          </w:p>
        </w:tc>
        <w:tc>
          <w:tcPr>
            <w:tcW w:type="dxa" w:w="4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ReactorController.TotalReactivity</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keff</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0.900 - 1.100</w:t>
            </w:r>
          </w:p>
        </w:tc>
        <w:tc>
          <w:tcPr>
            <w:tcW w:type="dxa" w:w="4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ReactorController.Keff</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Boron Concentration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ppm</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0 - 2500</w:t>
            </w:r>
          </w:p>
        </w:tc>
        <w:tc>
          <w:tcPr>
            <w:tcW w:type="dxa" w:w="4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ReactorController.Boron_ppm</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Xenon Worth</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pcm</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0 - 4000</w:t>
            </w:r>
          </w:p>
        </w:tc>
        <w:tc>
          <w:tcPr>
            <w:tcW w:type="dxa" w:w="4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ReactorController.Xenon_pcm (abs value)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RCS Flow</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0 - 120%</w:t>
            </w:r>
          </w:p>
        </w:tc>
        <w:tc>
          <w:tcPr>
            <w:tcW w:type="dxa" w:w="4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ReactorController.FlowFraction * 100</w:t>
            </w:r>
          </w:p>
        </w:tc>
      </w:tr>
    </w:tbl>
    <w:p>
      <w:pPr>
        <w:spacing w:after="60"/>
      </w:pPr>
    </w:p>
    <w:p>
      <w:pPr>
        <w:spacing w:after="120"/>
      </w:pPr>
      <w:r>
        <w:rPr>
          <w:rFonts w:ascii="Arial" w:cs="Arial" w:eastAsia="Arial" w:hAnsi="Arial"/>
          <w:sz w:val="22"/>
          <w:szCs w:val="22"/>
        </w:rPr>
        <w:t xml:space="preserve">Each gauge displays as a combined analog arc (upper 70% of gauge area) with a digital readout (lower 30%). The analog arc provides quick visual assessment while the digital readout provides precision. Gauge borders change color based on alarm state: green (normal), amber (warning), red (alarm).</w:t>
      </w:r>
    </w:p>
    <w:p>
      <w:pPr>
        <w:pStyle w:val="Heading2"/>
      </w:pPr>
      <w:r>
        <w:rPr>
          <w:rFonts w:ascii="Arial" w:cs="Arial" w:eastAsia="Arial" w:hAnsi="Arial"/>
          <w:b/>
          <w:bCs/>
          <w:sz w:val="28"/>
          <w:szCs w:val="28"/>
        </w:rPr>
        <w:t xml:space="preserve">3.2 Right Column — Thermal-Hydraulic Instrumentation</w:t>
      </w:r>
    </w:p>
    <w:p>
      <w:pPr>
        <w:spacing w:after="120"/>
      </w:pPr>
      <w:r>
        <w:rPr>
          <w:rFonts w:ascii="Arial" w:cs="Arial" w:eastAsia="Arial" w:hAnsi="Arial"/>
          <w:sz w:val="22"/>
          <w:szCs w:val="22"/>
        </w:rPr>
        <w:t xml:space="preserve">The right gauge column presents thermal-hydraulic parameters reflecting the heat removal and coolant state:</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640"/>
      </w:tblGrid>
      <w:tr>
        <w:tc>
          <w:tcPr>
            <w:tcW w:type="dxa" w:w="22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Parameter</w:t>
            </w:r>
          </w:p>
        </w:tc>
        <w:tc>
          <w:tcPr>
            <w:tcW w:type="dxa" w:w="14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Unit</w:t>
            </w:r>
          </w:p>
        </w:tc>
        <w:tc>
          <w:tcPr>
            <w:tcW w:type="dxa" w:w="16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Range</w:t>
            </w:r>
          </w:p>
        </w:tc>
        <w:tc>
          <w:tcPr>
            <w:tcW w:type="dxa" w:w="46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Source Property</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Tavg</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500 - 650</w:t>
            </w:r>
          </w:p>
        </w:tc>
        <w:tc>
          <w:tcPr>
            <w:tcW w:type="dxa" w:w="4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ReactorController.Tavg</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Thot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500 - 650</w:t>
            </w:r>
          </w:p>
        </w:tc>
        <w:tc>
          <w:tcPr>
            <w:tcW w:type="dxa" w:w="4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ReactorController.Thot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Tcold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500 - 650</w:t>
            </w:r>
          </w:p>
        </w:tc>
        <w:tc>
          <w:tcPr>
            <w:tcW w:type="dxa" w:w="4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ReactorController.Tcold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ΔT (Core)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0 - 80</w:t>
            </w:r>
          </w:p>
        </w:tc>
        <w:tc>
          <w:tcPr>
            <w:tcW w:type="dxa" w:w="4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ReactorController.DeltaT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Fuel Centerline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500 - 4800</w:t>
            </w:r>
          </w:p>
        </w:tc>
        <w:tc>
          <w:tcPr>
            <w:tcW w:type="dxa" w:w="4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ReactorController.FuelCenterline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Hot Ch. Centerline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500 - 4800</w:t>
            </w:r>
          </w:p>
        </w:tc>
        <w:tc>
          <w:tcPr>
            <w:tcW w:type="dxa" w:w="4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ReactorController.HotChannelCenterline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RCS Pressure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psig</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0 - 2500</w:t>
            </w:r>
          </w:p>
        </w:tc>
        <w:tc>
          <w:tcPr>
            <w:tcW w:type="dxa" w:w="4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PZR pressure minus 14.7 (when PZR model available)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PZR Level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0 - 100</w:t>
            </w:r>
          </w:p>
        </w:tc>
        <w:tc>
          <w:tcPr>
            <w:tcW w:type="dxa" w:w="4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PZR level percentage (when PZR model available)</w:t>
            </w:r>
          </w:p>
        </w:tc>
      </w:tr>
    </w:tbl>
    <w:p>
      <w:r>
        <w:br w:type="page"/>
      </w:r>
    </w:p>
    <w:p>
      <w:pPr>
        <w:pStyle w:val="Heading1"/>
      </w:pPr>
      <w:r>
        <w:rPr>
          <w:rFonts w:ascii="Arial" w:cs="Arial" w:eastAsia="Arial" w:hAnsi="Arial"/>
          <w:b/>
          <w:bCs/>
          <w:sz w:val="32"/>
          <w:szCs w:val="32"/>
        </w:rPr>
        <w:t xml:space="preserve">4. Bottom Control Panel</w:t>
      </w:r>
    </w:p>
    <w:p>
      <w:pPr>
        <w:spacing w:after="120"/>
      </w:pPr>
      <w:r>
        <w:rPr>
          <w:rFonts w:ascii="Arial" w:cs="Arial" w:eastAsia="Arial" w:hAnsi="Arial"/>
          <w:sz w:val="22"/>
          <w:szCs w:val="22"/>
        </w:rPr>
        <w:t xml:space="preserve">The bottom 25% of the screen houses all operator controls and the alarm annunciator strip. It is subdivided into five functional groups arranged left to right:</w:t>
      </w:r>
    </w:p>
    <w:p>
      <w:pPr>
        <w:pStyle w:val="Heading2"/>
      </w:pPr>
      <w:r>
        <w:rPr>
          <w:rFonts w:ascii="Arial" w:cs="Arial" w:eastAsia="Arial" w:hAnsi="Arial"/>
          <w:b/>
          <w:bCs/>
          <w:sz w:val="28"/>
          <w:szCs w:val="28"/>
        </w:rPr>
        <w:t xml:space="preserve">4.1 Rod Control Group</w:t>
      </w:r>
    </w:p>
    <w:p>
      <w:pPr>
        <w:pStyle w:val="ListParagraph"/>
        <w:numPr>
          <w:ilvl w:val="0"/>
          <w:numId w:val="2"/>
        </w:numPr>
        <w:spacing w:after="60"/>
      </w:pPr>
      <w:r>
        <w:rPr>
          <w:rFonts w:ascii="Arial" w:cs="Arial" w:eastAsia="Arial" w:hAnsi="Arial"/>
          <w:b/>
          <w:bCs/>
          <w:sz w:val="22"/>
          <w:szCs w:val="22"/>
        </w:rPr>
        <w:t xml:space="preserve">WITHDRAW button </w:t>
      </w:r>
      <w:r>
        <w:rPr>
          <w:rFonts w:ascii="Arial" w:cs="Arial" w:eastAsia="Arial" w:hAnsi="Arial"/>
          <w:sz w:val="22"/>
          <w:szCs w:val="22"/>
        </w:rPr>
        <w:t xml:space="preserve">— Starts sequential rod withdrawal (SA→A with overlap)</w:t>
      </w:r>
    </w:p>
    <w:p>
      <w:pPr>
        <w:pStyle w:val="ListParagraph"/>
        <w:numPr>
          <w:ilvl w:val="0"/>
          <w:numId w:val="2"/>
        </w:numPr>
        <w:spacing w:after="60"/>
      </w:pPr>
      <w:r>
        <w:rPr>
          <w:rFonts w:ascii="Arial" w:cs="Arial" w:eastAsia="Arial" w:hAnsi="Arial"/>
          <w:b/>
          <w:bCs/>
          <w:sz w:val="22"/>
          <w:szCs w:val="22"/>
        </w:rPr>
        <w:t xml:space="preserve">INSERT button </w:t>
      </w:r>
      <w:r>
        <w:rPr>
          <w:rFonts w:ascii="Arial" w:cs="Arial" w:eastAsia="Arial" w:hAnsi="Arial"/>
          <w:sz w:val="22"/>
          <w:szCs w:val="22"/>
        </w:rPr>
        <w:t xml:space="preserve">— Starts sequential rod insertion (A→SA)</w:t>
      </w:r>
    </w:p>
    <w:p>
      <w:pPr>
        <w:pStyle w:val="ListParagraph"/>
        <w:numPr>
          <w:ilvl w:val="0"/>
          <w:numId w:val="2"/>
        </w:numPr>
        <w:spacing w:after="60"/>
      </w:pPr>
      <w:r>
        <w:rPr>
          <w:rFonts w:ascii="Arial" w:cs="Arial" w:eastAsia="Arial" w:hAnsi="Arial"/>
          <w:b/>
          <w:bCs/>
          <w:sz w:val="22"/>
          <w:szCs w:val="22"/>
        </w:rPr>
        <w:t xml:space="preserve">STOP button </w:t>
      </w:r>
      <w:r>
        <w:rPr>
          <w:rFonts w:ascii="Arial" w:cs="Arial" w:eastAsia="Arial" w:hAnsi="Arial"/>
          <w:sz w:val="22"/>
          <w:szCs w:val="22"/>
        </w:rPr>
        <w:t xml:space="preserve">— Halts all rod motion immediately</w:t>
      </w:r>
    </w:p>
    <w:p>
      <w:pPr>
        <w:pStyle w:val="ListParagraph"/>
        <w:numPr>
          <w:ilvl w:val="0"/>
          <w:numId w:val="2"/>
        </w:numPr>
        <w:spacing w:after="60"/>
      </w:pPr>
      <w:r>
        <w:rPr>
          <w:rFonts w:ascii="Arial" w:cs="Arial" w:eastAsia="Arial" w:hAnsi="Arial"/>
          <w:b/>
          <w:bCs/>
          <w:sz w:val="22"/>
          <w:szCs w:val="22"/>
        </w:rPr>
        <w:t xml:space="preserve">BANK SELECT dropdown </w:t>
      </w:r>
      <w:r>
        <w:rPr>
          <w:rFonts w:ascii="Arial" w:cs="Arial" w:eastAsia="Arial" w:hAnsi="Arial"/>
          <w:sz w:val="22"/>
          <w:szCs w:val="22"/>
        </w:rPr>
        <w:t xml:space="preserve">— Selects individual bank for manual single-bank control</w:t>
      </w:r>
    </w:p>
    <w:p>
      <w:pPr>
        <w:pStyle w:val="ListParagraph"/>
        <w:numPr>
          <w:ilvl w:val="0"/>
          <w:numId w:val="2"/>
        </w:numPr>
        <w:spacing w:after="60"/>
      </w:pPr>
      <w:r>
        <w:rPr>
          <w:rFonts w:ascii="Arial" w:cs="Arial" w:eastAsia="Arial" w:hAnsi="Arial"/>
          <w:b/>
          <w:bCs/>
          <w:sz w:val="22"/>
          <w:szCs w:val="22"/>
        </w:rPr>
        <w:t xml:space="preserve">AUTO/MANUAL toggle </w:t>
      </w:r>
      <w:r>
        <w:rPr>
          <w:rFonts w:ascii="Arial" w:cs="Arial" w:eastAsia="Arial" w:hAnsi="Arial"/>
          <w:sz w:val="22"/>
          <w:szCs w:val="22"/>
        </w:rPr>
        <w:t xml:space="preserve">— Switches between automatic rod control (Tavg program) and manual mode</w:t>
      </w:r>
    </w:p>
    <w:p>
      <w:pPr>
        <w:pStyle w:val="Heading2"/>
      </w:pPr>
      <w:r>
        <w:rPr>
          <w:rFonts w:ascii="Arial" w:cs="Arial" w:eastAsia="Arial" w:hAnsi="Arial"/>
          <w:b/>
          <w:bCs/>
          <w:sz w:val="28"/>
          <w:szCs w:val="28"/>
        </w:rPr>
        <w:t xml:space="preserve">4.2 Bank Position Display</w:t>
      </w:r>
    </w:p>
    <w:p>
      <w:pPr>
        <w:spacing w:after="120"/>
      </w:pPr>
      <w:r>
        <w:rPr>
          <w:rFonts w:ascii="Arial" w:cs="Arial" w:eastAsia="Arial" w:hAnsi="Arial"/>
          <w:sz w:val="22"/>
          <w:szCs w:val="22"/>
        </w:rPr>
        <w:t xml:space="preserve">Eight vertical bar indicators showing positions of all rod banks (SA through A). Each bar:</w:t>
      </w:r>
    </w:p>
    <w:p>
      <w:pPr>
        <w:pStyle w:val="ListParagraph"/>
        <w:numPr>
          <w:ilvl w:val="0"/>
          <w:numId w:val="2"/>
        </w:numPr>
        <w:spacing w:after="60"/>
      </w:pPr>
      <w:r>
        <w:rPr>
          <w:rFonts w:ascii="Arial" w:cs="Arial" w:eastAsia="Arial" w:hAnsi="Arial"/>
          <w:sz w:val="22"/>
          <w:szCs w:val="22"/>
        </w:rPr>
        <w:t xml:space="preserve">Scale: 0 (bottom, fully inserted) to 228 (top, fully withdrawn)</w:t>
      </w:r>
    </w:p>
    <w:p>
      <w:pPr>
        <w:pStyle w:val="ListParagraph"/>
        <w:numPr>
          <w:ilvl w:val="0"/>
          <w:numId w:val="2"/>
        </w:numPr>
        <w:spacing w:after="60"/>
      </w:pPr>
      <w:r>
        <w:rPr>
          <w:rFonts w:ascii="Arial" w:cs="Arial" w:eastAsia="Arial" w:hAnsi="Arial"/>
          <w:sz w:val="22"/>
          <w:szCs w:val="22"/>
        </w:rPr>
        <w:t xml:space="preserve">Colored fill using bank color scheme from Section 2.2.2</w:t>
      </w:r>
    </w:p>
    <w:p>
      <w:pPr>
        <w:pStyle w:val="ListParagraph"/>
        <w:numPr>
          <w:ilvl w:val="0"/>
          <w:numId w:val="2"/>
        </w:numPr>
        <w:spacing w:after="60"/>
      </w:pPr>
      <w:r>
        <w:rPr>
          <w:rFonts w:ascii="Arial" w:cs="Arial" w:eastAsia="Arial" w:hAnsi="Arial"/>
          <w:sz w:val="22"/>
          <w:szCs w:val="22"/>
        </w:rPr>
        <w:t xml:space="preserve">Digital step count displayed below each bar</w:t>
      </w:r>
    </w:p>
    <w:p>
      <w:pPr>
        <w:pStyle w:val="ListParagraph"/>
        <w:numPr>
          <w:ilvl w:val="0"/>
          <w:numId w:val="2"/>
        </w:numPr>
        <w:spacing w:after="60"/>
      </w:pPr>
      <w:r>
        <w:rPr>
          <w:rFonts w:ascii="Arial" w:cs="Arial" w:eastAsia="Arial" w:hAnsi="Arial"/>
          <w:sz w:val="22"/>
          <w:szCs w:val="22"/>
        </w:rPr>
        <w:t xml:space="preserve">Bank label (SA, SB, SC, SD, D, C, B, A) above each bar</w:t>
      </w:r>
    </w:p>
    <w:p>
      <w:pPr>
        <w:pStyle w:val="ListParagraph"/>
        <w:numPr>
          <w:ilvl w:val="0"/>
          <w:numId w:val="2"/>
        </w:numPr>
        <w:spacing w:after="60"/>
      </w:pPr>
      <w:r>
        <w:rPr>
          <w:rFonts w:ascii="Arial" w:cs="Arial" w:eastAsia="Arial" w:hAnsi="Arial"/>
          <w:sz w:val="22"/>
          <w:szCs w:val="22"/>
        </w:rPr>
        <w:t xml:space="preserve">Motion indicator arrow (up/down) when bank is moving</w:t>
      </w:r>
    </w:p>
    <w:p>
      <w:pPr>
        <w:pStyle w:val="ListParagraph"/>
        <w:numPr>
          <w:ilvl w:val="0"/>
          <w:numId w:val="2"/>
        </w:numPr>
        <w:spacing w:after="60"/>
      </w:pPr>
      <w:r>
        <w:rPr>
          <w:rFonts w:ascii="Arial" w:cs="Arial" w:eastAsia="Arial" w:hAnsi="Arial"/>
          <w:sz w:val="22"/>
          <w:szCs w:val="22"/>
        </w:rPr>
        <w:t xml:space="preserve">Insertion limit line (dashed) at step 30 for Bank D (BANK_D_INSERTION_LIMIT)</w:t>
      </w:r>
    </w:p>
    <w:p>
      <w:pPr>
        <w:pStyle w:val="Heading2"/>
      </w:pPr>
      <w:r>
        <w:rPr>
          <w:rFonts w:ascii="Arial" w:cs="Arial" w:eastAsia="Arial" w:hAnsi="Arial"/>
          <w:b/>
          <w:bCs/>
          <w:sz w:val="28"/>
          <w:szCs w:val="28"/>
        </w:rPr>
        <w:t xml:space="preserve">4.3 Boron/Chemistry Control</w:t>
      </w:r>
    </w:p>
    <w:p>
      <w:pPr>
        <w:pStyle w:val="ListParagraph"/>
        <w:numPr>
          <w:ilvl w:val="0"/>
          <w:numId w:val="2"/>
        </w:numPr>
        <w:spacing w:after="60"/>
      </w:pPr>
      <w:r>
        <w:rPr>
          <w:rFonts w:ascii="Arial" w:cs="Arial" w:eastAsia="Arial" w:hAnsi="Arial"/>
          <w:b/>
          <w:bCs/>
          <w:sz w:val="22"/>
          <w:szCs w:val="22"/>
        </w:rPr>
        <w:t xml:space="preserve">BORATE button </w:t>
      </w:r>
      <w:r>
        <w:rPr>
          <w:rFonts w:ascii="Arial" w:cs="Arial" w:eastAsia="Arial" w:hAnsi="Arial"/>
          <w:sz w:val="22"/>
          <w:szCs w:val="22"/>
        </w:rPr>
        <w:t xml:space="preserve">— Increases boron concentration (positive reactivity control)</w:t>
      </w:r>
    </w:p>
    <w:p>
      <w:pPr>
        <w:pStyle w:val="ListParagraph"/>
        <w:numPr>
          <w:ilvl w:val="0"/>
          <w:numId w:val="2"/>
        </w:numPr>
        <w:spacing w:after="60"/>
      </w:pPr>
      <w:r>
        <w:rPr>
          <w:rFonts w:ascii="Arial" w:cs="Arial" w:eastAsia="Arial" w:hAnsi="Arial"/>
          <w:b/>
          <w:bCs/>
          <w:sz w:val="22"/>
          <w:szCs w:val="22"/>
        </w:rPr>
        <w:t xml:space="preserve">DILUTE button </w:t>
      </w:r>
      <w:r>
        <w:rPr>
          <w:rFonts w:ascii="Arial" w:cs="Arial" w:eastAsia="Arial" w:hAnsi="Arial"/>
          <w:sz w:val="22"/>
          <w:szCs w:val="22"/>
        </w:rPr>
        <w:t xml:space="preserve">— Decreases boron concentration (negative reactivity control)</w:t>
      </w:r>
    </w:p>
    <w:p>
      <w:pPr>
        <w:pStyle w:val="ListParagraph"/>
        <w:numPr>
          <w:ilvl w:val="0"/>
          <w:numId w:val="2"/>
        </w:numPr>
        <w:spacing w:after="60"/>
      </w:pPr>
      <w:r>
        <w:rPr>
          <w:rFonts w:ascii="Arial" w:cs="Arial" w:eastAsia="Arial" w:hAnsi="Arial"/>
          <w:b/>
          <w:bCs/>
          <w:sz w:val="22"/>
          <w:szCs w:val="22"/>
        </w:rPr>
        <w:t xml:space="preserve">Boron ppm readout </w:t>
      </w:r>
      <w:r>
        <w:rPr>
          <w:rFonts w:ascii="Arial" w:cs="Arial" w:eastAsia="Arial" w:hAnsi="Arial"/>
          <w:sz w:val="22"/>
          <w:szCs w:val="22"/>
        </w:rPr>
        <w:t xml:space="preserve">— Current boron concentration with trend arrow</w:t>
      </w:r>
    </w:p>
    <w:p>
      <w:pPr>
        <w:pStyle w:val="ListParagraph"/>
        <w:numPr>
          <w:ilvl w:val="0"/>
          <w:numId w:val="2"/>
        </w:numPr>
        <w:spacing w:after="60"/>
      </w:pPr>
      <w:r>
        <w:rPr>
          <w:rFonts w:ascii="Arial" w:cs="Arial" w:eastAsia="Arial" w:hAnsi="Arial"/>
          <w:b/>
          <w:bCs/>
          <w:sz w:val="22"/>
          <w:szCs w:val="22"/>
        </w:rPr>
        <w:t xml:space="preserve">Rate selector </w:t>
      </w:r>
      <w:r>
        <w:rPr>
          <w:rFonts w:ascii="Arial" w:cs="Arial" w:eastAsia="Arial" w:hAnsi="Arial"/>
          <w:sz w:val="22"/>
          <w:szCs w:val="22"/>
        </w:rPr>
        <w:t xml:space="preserve">— Adjusts boration/dilution rate</w:t>
      </w:r>
    </w:p>
    <w:p>
      <w:pPr>
        <w:pStyle w:val="Heading2"/>
      </w:pPr>
      <w:r>
        <w:rPr>
          <w:rFonts w:ascii="Arial" w:cs="Arial" w:eastAsia="Arial" w:hAnsi="Arial"/>
          <w:b/>
          <w:bCs/>
          <w:sz w:val="28"/>
          <w:szCs w:val="28"/>
        </w:rPr>
        <w:t xml:space="preserve">4.4 Trip and Safety Controls</w:t>
      </w:r>
    </w:p>
    <w:p>
      <w:pPr>
        <w:pStyle w:val="ListParagraph"/>
        <w:numPr>
          <w:ilvl w:val="0"/>
          <w:numId w:val="2"/>
        </w:numPr>
        <w:spacing w:after="60"/>
      </w:pPr>
      <w:r>
        <w:rPr>
          <w:rFonts w:ascii="Arial" w:cs="Arial" w:eastAsia="Arial" w:hAnsi="Arial"/>
          <w:b/>
          <w:bCs/>
          <w:sz w:val="22"/>
          <w:szCs w:val="22"/>
        </w:rPr>
        <w:t xml:space="preserve">TRIP button </w:t>
      </w:r>
      <w:r>
        <w:rPr>
          <w:rFonts w:ascii="Arial" w:cs="Arial" w:eastAsia="Arial" w:hAnsi="Arial"/>
          <w:sz w:val="22"/>
          <w:szCs w:val="22"/>
        </w:rPr>
        <w:t xml:space="preserve">— Red, with safety cover toggle. Drops all rods. Requires cover lift before press (two-action safety).</w:t>
      </w:r>
    </w:p>
    <w:p>
      <w:pPr>
        <w:pStyle w:val="ListParagraph"/>
        <w:numPr>
          <w:ilvl w:val="0"/>
          <w:numId w:val="2"/>
        </w:numPr>
        <w:spacing w:after="60"/>
      </w:pPr>
      <w:r>
        <w:rPr>
          <w:rFonts w:ascii="Arial" w:cs="Arial" w:eastAsia="Arial" w:hAnsi="Arial"/>
          <w:b/>
          <w:bCs/>
          <w:sz w:val="22"/>
          <w:szCs w:val="22"/>
        </w:rPr>
        <w:t xml:space="preserve">RESET TRIP button </w:t>
      </w:r>
      <w:r>
        <w:rPr>
          <w:rFonts w:ascii="Arial" w:cs="Arial" w:eastAsia="Arial" w:hAnsi="Arial"/>
          <w:sz w:val="22"/>
          <w:szCs w:val="22"/>
        </w:rPr>
        <w:t xml:space="preserve">— Resets trip condition after all rods confirmed at bottom. Grayed out unless trip conditions cleared.</w:t>
      </w:r>
    </w:p>
    <w:p>
      <w:pPr>
        <w:pStyle w:val="ListParagraph"/>
        <w:numPr>
          <w:ilvl w:val="0"/>
          <w:numId w:val="2"/>
        </w:numPr>
        <w:spacing w:after="60"/>
      </w:pPr>
      <w:r>
        <w:rPr>
          <w:rFonts w:ascii="Arial" w:cs="Arial" w:eastAsia="Arial" w:hAnsi="Arial"/>
          <w:b/>
          <w:bCs/>
          <w:sz w:val="22"/>
          <w:szCs w:val="22"/>
        </w:rPr>
        <w:t xml:space="preserve">TRIP STATUS indicator </w:t>
      </w:r>
      <w:r>
        <w:rPr>
          <w:rFonts w:ascii="Arial" w:cs="Arial" w:eastAsia="Arial" w:hAnsi="Arial"/>
          <w:sz w:val="22"/>
          <w:szCs w:val="22"/>
        </w:rPr>
        <w:t xml:space="preserve">— Backlit panel: NORMAL (green) or TRIPPED (flashing red)</w:t>
      </w:r>
    </w:p>
    <w:p>
      <w:pPr>
        <w:pStyle w:val="Heading2"/>
      </w:pPr>
      <w:r>
        <w:rPr>
          <w:rFonts w:ascii="Arial" w:cs="Arial" w:eastAsia="Arial" w:hAnsi="Arial"/>
          <w:b/>
          <w:bCs/>
          <w:sz w:val="28"/>
          <w:szCs w:val="28"/>
        </w:rPr>
        <w:t xml:space="preserve">4.5 Time Compression Controls</w:t>
      </w:r>
    </w:p>
    <w:p>
      <w:pPr>
        <w:pStyle w:val="ListParagraph"/>
        <w:numPr>
          <w:ilvl w:val="0"/>
          <w:numId w:val="2"/>
        </w:numPr>
        <w:spacing w:after="60"/>
      </w:pPr>
      <w:r>
        <w:rPr>
          <w:rFonts w:ascii="Arial" w:cs="Arial" w:eastAsia="Arial" w:hAnsi="Arial"/>
          <w:b/>
          <w:bCs/>
          <w:sz w:val="22"/>
          <w:szCs w:val="22"/>
        </w:rPr>
        <w:t xml:space="preserve">Time compression slider </w:t>
      </w:r>
      <w:r>
        <w:rPr>
          <w:rFonts w:ascii="Arial" w:cs="Arial" w:eastAsia="Arial" w:hAnsi="Arial"/>
          <w:sz w:val="22"/>
          <w:szCs w:val="22"/>
        </w:rPr>
        <w:t xml:space="preserve">— Logarithmic scale: 1x, 2x, 5x, 10x, 50x, 100x, 500x, 1000x, 5000x, 10000x</w:t>
      </w:r>
    </w:p>
    <w:p>
      <w:pPr>
        <w:pStyle w:val="ListParagraph"/>
        <w:numPr>
          <w:ilvl w:val="0"/>
          <w:numId w:val="2"/>
        </w:numPr>
        <w:spacing w:after="60"/>
      </w:pPr>
      <w:r>
        <w:rPr>
          <w:rFonts w:ascii="Arial" w:cs="Arial" w:eastAsia="Arial" w:hAnsi="Arial"/>
          <w:b/>
          <w:bCs/>
          <w:sz w:val="22"/>
          <w:szCs w:val="22"/>
        </w:rPr>
        <w:t xml:space="preserve">PAUSE button </w:t>
      </w:r>
      <w:r>
        <w:rPr>
          <w:rFonts w:ascii="Arial" w:cs="Arial" w:eastAsia="Arial" w:hAnsi="Arial"/>
          <w:sz w:val="22"/>
          <w:szCs w:val="22"/>
        </w:rPr>
        <w:t xml:space="preserve">— Freezes simulation time (TimeCompression = 0)</w:t>
      </w:r>
    </w:p>
    <w:p>
      <w:pPr>
        <w:pStyle w:val="ListParagraph"/>
        <w:numPr>
          <w:ilvl w:val="0"/>
          <w:numId w:val="2"/>
        </w:numPr>
        <w:spacing w:after="60"/>
      </w:pPr>
      <w:r>
        <w:rPr>
          <w:rFonts w:ascii="Arial" w:cs="Arial" w:eastAsia="Arial" w:hAnsi="Arial"/>
          <w:b/>
          <w:bCs/>
          <w:sz w:val="22"/>
          <w:szCs w:val="22"/>
        </w:rPr>
        <w:t xml:space="preserve">Simulation clock display </w:t>
      </w:r>
      <w:r>
        <w:rPr>
          <w:rFonts w:ascii="Arial" w:cs="Arial" w:eastAsia="Arial" w:hAnsi="Arial"/>
          <w:sz w:val="22"/>
          <w:szCs w:val="22"/>
        </w:rPr>
        <w:t xml:space="preserve">— Shows elapsed simulation time in HH:MM:SS format</w:t>
      </w:r>
    </w:p>
    <w:p>
      <w:pPr>
        <w:pStyle w:val="ListParagraph"/>
        <w:numPr>
          <w:ilvl w:val="0"/>
          <w:numId w:val="2"/>
        </w:numPr>
        <w:spacing w:after="60"/>
      </w:pPr>
      <w:r>
        <w:rPr>
          <w:rFonts w:ascii="Arial" w:cs="Arial" w:eastAsia="Arial" w:hAnsi="Arial"/>
          <w:b/>
          <w:bCs/>
          <w:sz w:val="22"/>
          <w:szCs w:val="22"/>
        </w:rPr>
        <w:t xml:space="preserve">Current compression readout </w:t>
      </w:r>
      <w:r>
        <w:rPr>
          <w:rFonts w:ascii="Arial" w:cs="Arial" w:eastAsia="Arial" w:hAnsi="Arial"/>
          <w:sz w:val="22"/>
          <w:szCs w:val="22"/>
        </w:rPr>
        <w:t xml:space="preserve">— Shows active time compression factor (e.g., "100x")</w:t>
      </w:r>
    </w:p>
    <w:p>
      <w:pPr>
        <w:pStyle w:val="Heading2"/>
      </w:pPr>
      <w:r>
        <w:rPr>
          <w:rFonts w:ascii="Arial" w:cs="Arial" w:eastAsia="Arial" w:hAnsi="Arial"/>
          <w:b/>
          <w:bCs/>
          <w:sz w:val="28"/>
          <w:szCs w:val="28"/>
        </w:rPr>
        <w:t xml:space="preserve">4.6 Alarm Annunciator Strip</w:t>
      </w:r>
    </w:p>
    <w:p>
      <w:pPr>
        <w:spacing w:after="120"/>
      </w:pPr>
      <w:r>
        <w:rPr>
          <w:rFonts w:ascii="Arial" w:cs="Arial" w:eastAsia="Arial" w:hAnsi="Arial"/>
          <w:sz w:val="22"/>
          <w:szCs w:val="22"/>
        </w:rPr>
        <w:t xml:space="preserve">A horizontal strip of backlit alarm tiles spanning the full width of the bottom panel. Modeled after the Westinghouse annunciator window design:</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640"/>
      </w:tblGrid>
      <w:tr>
        <w:tc>
          <w:tcPr>
            <w:tcW w:type="dxa" w:w="24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Alarm Tile</w:t>
            </w:r>
          </w:p>
        </w:tc>
        <w:tc>
          <w:tcPr>
            <w:tcW w:type="dxa" w:w="18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Color (Active)</w:t>
            </w:r>
          </w:p>
        </w:tc>
        <w:tc>
          <w:tcPr>
            <w:tcW w:type="dxa" w:w="56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Trigger Condition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REACTOR TRIP</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Magenta flash</w:t>
            </w:r>
          </w:p>
        </w:tc>
        <w:tc>
          <w:tcPr>
            <w:tcW w:type="dxa" w:w="5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ReactorController.IsTripped == true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OVERPOWER</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Red flash</w:t>
            </w:r>
          </w:p>
        </w:tc>
        <w:tc>
          <w:tcPr>
            <w:tcW w:type="dxa" w:w="5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ThermalPower &gt; 1.04 (104%)</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HI NEUTRON FLUX</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Red flash</w:t>
            </w:r>
          </w:p>
        </w:tc>
        <w:tc>
          <w:tcPr>
            <w:tcW w:type="dxa" w:w="5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NeutronPower &gt; 1.09 (109% trip setpoint)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 RCS FLOW</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Red flash</w:t>
            </w:r>
          </w:p>
        </w:tc>
        <w:tc>
          <w:tcPr>
            <w:tcW w:type="dxa" w:w="5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FlowFraction &lt; 0.87 (87% low flow trip)</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TAVG HI</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Amber flash</w:t>
            </w:r>
          </w:p>
        </w:tc>
        <w:tc>
          <w:tcPr>
            <w:tcW w:type="dxa" w:w="5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Tavg &gt; 590°F (above HFP setpoint + deadband)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TAVG LO</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Amber flash</w:t>
            </w:r>
          </w:p>
        </w:tc>
        <w:tc>
          <w:tcPr>
            <w:tcW w:type="dxa" w:w="5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Tavg &lt; 555°F (below HZP setpoint)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ROD BOTTOM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Amber flash</w:t>
            </w:r>
          </w:p>
        </w:tc>
        <w:tc>
          <w:tcPr>
            <w:tcW w:type="dxa" w:w="5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Any control bank at step 0 (ControlRodBank.RodBottomAlarm)</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ROD DEVIATION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Amber</w:t>
            </w:r>
          </w:p>
        </w:tc>
        <w:tc>
          <w:tcPr>
            <w:tcW w:type="dxa" w:w="5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Bank sequence violation detected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HI STARTUP RATE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Amber flash</w:t>
            </w:r>
          </w:p>
        </w:tc>
        <w:tc>
          <w:tcPr>
            <w:tcW w:type="dxa" w:w="5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StartupRate_DPM &gt; 0.5 DPM</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SHORT PERIOD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Red flash</w:t>
            </w:r>
          </w:p>
        </w:tc>
        <w:tc>
          <w:tcPr>
            <w:tcW w:type="dxa" w:w="5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ReactorPeriod &gt; 0 AND &lt; 30 seconds</w:t>
            </w:r>
          </w:p>
        </w:tc>
      </w:tr>
    </w:tbl>
    <w:p>
      <w:pPr>
        <w:spacing w:after="60"/>
      </w:pPr>
    </w:p>
    <w:p>
      <w:pPr>
        <w:spacing w:after="120"/>
      </w:pPr>
      <w:r>
        <w:rPr>
          <w:rFonts w:ascii="Arial" w:cs="Arial" w:eastAsia="Arial" w:hAnsi="Arial"/>
          <w:sz w:val="22"/>
          <w:szCs w:val="22"/>
        </w:rPr>
        <w:t xml:space="preserve">Alarm behavior follows the standard Westinghouse annunciator sequence: new alarm flashes rapidly until acknowledged (ACK button), then burns steady until condition clears, then extinguishes. The ACK button clears the flash state but not the alarm itself.</w:t>
      </w:r>
    </w:p>
    <w:p>
      <w:r>
        <w:br w:type="page"/>
      </w:r>
    </w:p>
    <w:p>
      <w:pPr>
        <w:pStyle w:val="Heading1"/>
      </w:pPr>
      <w:r>
        <w:rPr>
          <w:rFonts w:ascii="Arial" w:cs="Arial" w:eastAsia="Arial" w:hAnsi="Arial"/>
          <w:b/>
          <w:bCs/>
          <w:sz w:val="32"/>
          <w:szCs w:val="32"/>
        </w:rPr>
        <w:t xml:space="preserve">5. Data Architecture and Module Integration</w:t>
      </w:r>
    </w:p>
    <w:p>
      <w:pPr>
        <w:pStyle w:val="Heading2"/>
      </w:pPr>
      <w:r>
        <w:rPr>
          <w:rFonts w:ascii="Arial" w:cs="Arial" w:eastAsia="Arial" w:hAnsi="Arial"/>
          <w:b/>
          <w:bCs/>
          <w:sz w:val="28"/>
          <w:szCs w:val="28"/>
        </w:rPr>
        <w:t xml:space="preserve">5.1 Data Flow</w:t>
      </w:r>
    </w:p>
    <w:p>
      <w:pPr>
        <w:spacing w:after="120"/>
      </w:pPr>
      <w:r>
        <w:rPr>
          <w:rFonts w:ascii="Arial" w:cs="Arial" w:eastAsia="Arial" w:hAnsi="Arial"/>
          <w:sz w:val="22"/>
          <w:szCs w:val="22"/>
        </w:rPr>
        <w:t xml:space="preserve">The GUI reads data exclusively from ReactorController (MonoBehaviour) which in turn reads from the physics modules. No physics calculations occur in the GUI layer. The data flow is strictly one-directional for display, with operator commands flowing back through ReactorController methods:</w:t>
      </w:r>
    </w:p>
    <w:p>
      <w:pPr>
        <w:spacing w:after="60"/>
      </w:pPr>
    </w:p>
    <w:p>
      <w:pPr>
        <w:spacing w:after="80"/>
      </w:pPr>
      <w:r>
        <w:rPr>
          <w:rFonts w:ascii="Consolas" w:cs="Consolas" w:eastAsia="Consolas" w:hAnsi="Consolas"/>
          <w:sz w:val="18"/>
          <w:szCs w:val="18"/>
        </w:rPr>
        <w:t xml:space="preserve">  ReactorCore (physics) → ReactorController (coordinator) → GUI (display)</w:t>
      </w:r>
    </w:p>
    <w:p>
      <w:pPr>
        <w:spacing w:after="80"/>
      </w:pPr>
      <w:r>
        <w:rPr>
          <w:rFonts w:ascii="Consolas" w:cs="Consolas" w:eastAsia="Consolas" w:hAnsi="Consolas"/>
          <w:sz w:val="18"/>
          <w:szCs w:val="18"/>
        </w:rPr>
        <w:t xml:space="preserve">  GUI (operator input) → ReactorController (commands) → ReactorCore (physics)</w:t>
      </w:r>
    </w:p>
    <w:p>
      <w:pPr>
        <w:pStyle w:val="Heading2"/>
      </w:pPr>
      <w:r>
        <w:rPr>
          <w:rFonts w:ascii="Arial" w:cs="Arial" w:eastAsia="Arial" w:hAnsi="Arial"/>
          <w:b/>
          <w:bCs/>
          <w:sz w:val="28"/>
          <w:szCs w:val="28"/>
        </w:rPr>
        <w:t xml:space="preserve">5.2 New Components Required</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5240"/>
      </w:tblGrid>
      <w:tr>
        <w:tc>
          <w:tcPr>
            <w:tcW w:type="dxa" w:w="30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Component</w:t>
            </w:r>
          </w:p>
        </w:tc>
        <w:tc>
          <w:tcPr>
            <w:tcW w:type="dxa" w:w="16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Type</w:t>
            </w:r>
          </w:p>
        </w:tc>
        <w:tc>
          <w:tcPr>
            <w:tcW w:type="dxa" w:w="52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Purpose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ReactorOperatorScreen.cs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MonoBehaviour</w:t>
            </w:r>
          </w:p>
        </w:tc>
        <w:tc>
          <w:tcPr>
            <w:tcW w:type="dxa" w:w="5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Master screen controller. Manages toggle (key 1), layout, component wiring, update loop.</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CoreMosaicMap.cs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MonoBehaviour</w:t>
            </w:r>
          </w:p>
        </w:tc>
        <w:tc>
          <w:tcPr>
            <w:tcW w:type="dxa" w:w="5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193-assembly interactive core map. Handles rendering, selection, hover, bank filtering.</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CoreMapData.cs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Static Data</w:t>
            </w:r>
          </w:p>
        </w:tc>
        <w:tc>
          <w:tcPr>
            <w:tcW w:type="dxa" w:w="5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Assembly grid positions, RCCA bank assignments, coordinate lookup tables. Pure data, no MonoBehaviour.</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AssemblyDetailPanel.cs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MonoBehaviour</w:t>
            </w:r>
          </w:p>
        </w:tc>
        <w:tc>
          <w:tcPr>
            <w:tcW w:type="dxa" w:w="5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Expandable detail panel for selected assembly. Shows radial temp profile, rod data, etc.</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OperatorScreenBuilder.cs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Editor Tool</w:t>
            </w:r>
          </w:p>
        </w:tc>
        <w:tc>
          <w:tcPr>
            <w:tcW w:type="dxa" w:w="5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Menu tool: Critical &gt; Create Operator Screen. Generates complete UI hierarchy.</w:t>
            </w:r>
          </w:p>
        </w:tc>
      </w:tr>
    </w:tbl>
    <w:p>
      <w:pPr>
        <w:spacing w:after="60"/>
      </w:pPr>
    </w:p>
    <w:p>
      <w:pPr>
        <w:spacing w:after="120"/>
      </w:pPr>
      <w:r>
        <w:rPr>
          <w:rFonts w:ascii="Arial" w:cs="Arial" w:eastAsia="Arial" w:hAnsi="Arial"/>
          <w:sz w:val="22"/>
          <w:szCs w:val="22"/>
        </w:rPr>
        <w:t xml:space="preserve">Existing components to be reused as-is (these are GOLD STANDARD validated modules and must not be modified):</w:t>
      </w:r>
    </w:p>
    <w:p>
      <w:pPr>
        <w:pStyle w:val="ListParagraph"/>
        <w:numPr>
          <w:ilvl w:val="0"/>
          <w:numId w:val="2"/>
        </w:numPr>
        <w:spacing w:after="60"/>
      </w:pPr>
      <w:r>
        <w:rPr>
          <w:rFonts w:ascii="Arial" w:cs="Arial" w:eastAsia="Arial" w:hAnsi="Arial"/>
          <w:sz w:val="22"/>
          <w:szCs w:val="22"/>
        </w:rPr>
        <w:t xml:space="preserve">MosaicGauge.cs — Individual gauge rendering (analog arc + digital readout)</w:t>
      </w:r>
    </w:p>
    <w:p>
      <w:pPr>
        <w:pStyle w:val="ListParagraph"/>
        <w:numPr>
          <w:ilvl w:val="0"/>
          <w:numId w:val="2"/>
        </w:numPr>
        <w:spacing w:after="60"/>
      </w:pPr>
      <w:r>
        <w:rPr>
          <w:rFonts w:ascii="Arial" w:cs="Arial" w:eastAsia="Arial" w:hAnsi="Arial"/>
          <w:sz w:val="22"/>
          <w:szCs w:val="22"/>
        </w:rPr>
        <w:t xml:space="preserve">MosaicIndicator.cs — Binary status indicators with flash capability</w:t>
      </w:r>
    </w:p>
    <w:p>
      <w:pPr>
        <w:pStyle w:val="ListParagraph"/>
        <w:numPr>
          <w:ilvl w:val="0"/>
          <w:numId w:val="2"/>
        </w:numPr>
        <w:spacing w:after="60"/>
      </w:pPr>
      <w:r>
        <w:rPr>
          <w:rFonts w:ascii="Arial" w:cs="Arial" w:eastAsia="Arial" w:hAnsi="Arial"/>
          <w:sz w:val="22"/>
          <w:szCs w:val="22"/>
        </w:rPr>
        <w:t xml:space="preserve">MosaicRodDisplay.cs — Rod position visualization (vertical bars)</w:t>
      </w:r>
    </w:p>
    <w:p>
      <w:pPr>
        <w:pStyle w:val="ListParagraph"/>
        <w:numPr>
          <w:ilvl w:val="0"/>
          <w:numId w:val="2"/>
        </w:numPr>
        <w:spacing w:after="60"/>
      </w:pPr>
      <w:r>
        <w:rPr>
          <w:rFonts w:ascii="Arial" w:cs="Arial" w:eastAsia="Arial" w:hAnsi="Arial"/>
          <w:sz w:val="22"/>
          <w:szCs w:val="22"/>
        </w:rPr>
        <w:t xml:space="preserve">MosaicControlPanel.cs — Operator controls (rod, boron, trip, time)</w:t>
      </w:r>
    </w:p>
    <w:p>
      <w:pPr>
        <w:pStyle w:val="ListParagraph"/>
        <w:numPr>
          <w:ilvl w:val="0"/>
          <w:numId w:val="2"/>
        </w:numPr>
        <w:spacing w:after="60"/>
      </w:pPr>
      <w:r>
        <w:rPr>
          <w:rFonts w:ascii="Arial" w:cs="Arial" w:eastAsia="Arial" w:hAnsi="Arial"/>
          <w:sz w:val="22"/>
          <w:szCs w:val="22"/>
        </w:rPr>
        <w:t xml:space="preserve">MosaicAlarmPanel.cs — Alarm annunciator with scrolling list</w:t>
      </w:r>
    </w:p>
    <w:p>
      <w:pPr>
        <w:pStyle w:val="ListParagraph"/>
        <w:numPr>
          <w:ilvl w:val="0"/>
          <w:numId w:val="2"/>
        </w:numPr>
        <w:spacing w:after="60"/>
      </w:pPr>
      <w:r>
        <w:rPr>
          <w:rFonts w:ascii="Arial" w:cs="Arial" w:eastAsia="Arial" w:hAnsi="Arial"/>
          <w:sz w:val="22"/>
          <w:szCs w:val="22"/>
        </w:rPr>
        <w:t xml:space="preserve">MosaicTypes.cs — Shared enums (GaugeType, AlarmState, IndicatorCondition)</w:t>
      </w:r>
    </w:p>
    <w:p>
      <w:pPr>
        <w:pStyle w:val="Heading2"/>
      </w:pPr>
      <w:r>
        <w:rPr>
          <w:rFonts w:ascii="Arial" w:cs="Arial" w:eastAsia="Arial" w:hAnsi="Arial"/>
          <w:b/>
          <w:bCs/>
          <w:sz w:val="28"/>
          <w:szCs w:val="28"/>
        </w:rPr>
        <w:t xml:space="preserve">5.3 CoreMapData Static Layout</w:t>
      </w:r>
    </w:p>
    <w:p>
      <w:pPr>
        <w:spacing w:after="120"/>
      </w:pPr>
      <w:r>
        <w:rPr>
          <w:rFonts w:ascii="Arial" w:cs="Arial" w:eastAsia="Arial" w:hAnsi="Arial"/>
          <w:sz w:val="22"/>
          <w:szCs w:val="22"/>
        </w:rPr>
        <w:t xml:space="preserve">The CoreMapData class encodes the authentic Westinghouse 4-Loop core layout as static arrays. This data is derived from NRC FSAR documentation and the Westinghouse Technology Systems Manual.</w:t>
      </w:r>
    </w:p>
    <w:p>
      <w:pPr>
        <w:spacing w:after="60"/>
      </w:pPr>
    </w:p>
    <w:p>
      <w:pPr>
        <w:spacing w:after="120"/>
      </w:pPr>
      <w:r>
        <w:rPr>
          <w:rFonts w:ascii="Arial" w:cs="Arial" w:eastAsia="Arial" w:hAnsi="Arial"/>
          <w:sz w:val="22"/>
          <w:szCs w:val="22"/>
        </w:rPr>
        <w:t xml:space="preserve">Key data structures:</w:t>
      </w:r>
    </w:p>
    <w:p>
      <w:pPr>
        <w:spacing w:after="80"/>
      </w:pPr>
      <w:r>
        <w:rPr>
          <w:rFonts w:ascii="Consolas" w:cs="Consolas" w:eastAsia="Consolas" w:hAnsi="Consolas"/>
          <w:sz w:val="18"/>
          <w:szCs w:val="18"/>
        </w:rPr>
        <w:t xml:space="preserve">// 15x15 grid: -1 = empty (corner), 0 = fuel-only, 1-8 = RCCA bank index</w:t>
      </w:r>
    </w:p>
    <w:p>
      <w:pPr>
        <w:spacing w:after="80"/>
      </w:pPr>
      <w:r>
        <w:rPr>
          <w:rFonts w:ascii="Consolas" w:cs="Consolas" w:eastAsia="Consolas" w:hAnsi="Consolas"/>
          <w:sz w:val="18"/>
          <w:szCs w:val="18"/>
        </w:rPr>
        <w:t xml:space="preserve">public static readonly int[,] CORE_GRID = new int[15, 15] { ... };</w:t>
      </w:r>
    </w:p>
    <w:p>
      <w:pPr>
        <w:spacing w:after="60"/>
      </w:pPr>
    </w:p>
    <w:p>
      <w:pPr>
        <w:spacing w:after="80"/>
      </w:pPr>
      <w:r>
        <w:rPr>
          <w:rFonts w:ascii="Consolas" w:cs="Consolas" w:eastAsia="Consolas" w:hAnsi="Consolas"/>
          <w:sz w:val="18"/>
          <w:szCs w:val="18"/>
        </w:rPr>
        <w:t xml:space="preserve">// Assembly index (0-192) to grid position mapping</w:t>
      </w:r>
    </w:p>
    <w:p>
      <w:pPr>
        <w:spacing w:after="80"/>
      </w:pPr>
      <w:r>
        <w:rPr>
          <w:rFonts w:ascii="Consolas" w:cs="Consolas" w:eastAsia="Consolas" w:hAnsi="Consolas"/>
          <w:sz w:val="18"/>
          <w:szCs w:val="18"/>
        </w:rPr>
        <w:t xml:space="preserve">public static readonly (int row, int col)[] ASSEMBLY_POSITIONS = new (int,int)[193];</w:t>
      </w:r>
    </w:p>
    <w:p>
      <w:pPr>
        <w:spacing w:after="60"/>
      </w:pPr>
    </w:p>
    <w:p>
      <w:pPr>
        <w:spacing w:after="80"/>
      </w:pPr>
      <w:r>
        <w:rPr>
          <w:rFonts w:ascii="Consolas" w:cs="Consolas" w:eastAsia="Consolas" w:hAnsi="Consolas"/>
          <w:sz w:val="18"/>
          <w:szCs w:val="18"/>
        </w:rPr>
        <w:t xml:space="preserve">// RCCA bank to assembly indices mapping</w:t>
      </w:r>
    </w:p>
    <w:p>
      <w:pPr>
        <w:spacing w:after="80"/>
      </w:pPr>
      <w:r>
        <w:rPr>
          <w:rFonts w:ascii="Consolas" w:cs="Consolas" w:eastAsia="Consolas" w:hAnsi="Consolas"/>
          <w:sz w:val="18"/>
          <w:szCs w:val="18"/>
        </w:rPr>
        <w:t xml:space="preserve">public static readonly int[][] BANK_ASSEMBLIES = new int[8][];</w:t>
      </w:r>
    </w:p>
    <w:p>
      <w:pPr>
        <w:spacing w:after="60"/>
      </w:pPr>
    </w:p>
    <w:p>
      <w:pPr>
        <w:spacing w:after="120"/>
      </w:pPr>
      <w:r>
        <w:rPr>
          <w:rFonts w:ascii="Arial" w:cs="Arial" w:eastAsia="Arial" w:hAnsi="Arial"/>
          <w:sz w:val="22"/>
          <w:szCs w:val="22"/>
        </w:rPr>
        <w:t xml:space="preserve">This data must be validated against the Westinghouse core loading arrangement (NRC FSAR Figure 3.1-5 or equivalent). The exact RCCA positions within the 193-assembly grid must match the standard 4-Loop reference plant.</w:t>
      </w:r>
    </w:p>
    <w:p>
      <w:r>
        <w:br w:type="page"/>
      </w:r>
    </w:p>
    <w:p>
      <w:pPr>
        <w:pStyle w:val="Heading1"/>
      </w:pPr>
      <w:r>
        <w:rPr>
          <w:rFonts w:ascii="Arial" w:cs="Arial" w:eastAsia="Arial" w:hAnsi="Arial"/>
          <w:b/>
          <w:bCs/>
          <w:sz w:val="32"/>
          <w:szCs w:val="32"/>
        </w:rPr>
        <w:t xml:space="preserve">6. Implementation Plan</w:t>
      </w:r>
    </w:p>
    <w:p>
      <w:pPr>
        <w:pStyle w:val="Heading2"/>
      </w:pPr>
      <w:r>
        <w:rPr>
          <w:rFonts w:ascii="Arial" w:cs="Arial" w:eastAsia="Arial" w:hAnsi="Arial"/>
          <w:b/>
          <w:bCs/>
          <w:sz w:val="28"/>
          <w:szCs w:val="28"/>
        </w:rPr>
        <w:t xml:space="preserve">6.1 Implementation Phases</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6440"/>
      </w:tblGrid>
      <w:tr>
        <w:tc>
          <w:tcPr>
            <w:tcW w:type="dxa" w:w="8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Step</w:t>
            </w:r>
          </w:p>
        </w:tc>
        <w:tc>
          <w:tcPr>
            <w:tcW w:type="dxa" w:w="26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Component</w:t>
            </w:r>
          </w:p>
        </w:tc>
        <w:tc>
          <w:tcPr>
            <w:tcW w:type="dxa" w:w="64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Deliverables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CoreMapData.cs</w:t>
            </w:r>
          </w:p>
        </w:tc>
        <w:tc>
          <w:tcPr>
            <w:tcW w:type="dxa" w:w="6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Static data class with authenticated 193-assembly grid layout, RCCA bank assignments, coordinate mappings. Full validation method.</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CoreMosaicMap.cs</w:t>
            </w:r>
          </w:p>
        </w:tc>
        <w:tc>
          <w:tcPr>
            <w:tcW w:type="dxa" w:w="6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Core map MonoBehaviour: renders 193 cells, applies color-coding, handles hover/click selection, bank filtering. Uses Unity Image components in a Grid Layout.</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AssemblyDetailPanel.cs</w:t>
            </w:r>
          </w:p>
        </w:tc>
        <w:tc>
          <w:tcPr>
            <w:tcW w:type="dxa" w:w="6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Floating detail panel that appears when an assembly is selected. Reads assembly-specific data from ReactorController/ReactorCore.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ReactorOperatorScreen.cs</w:t>
            </w:r>
          </w:p>
        </w:tc>
        <w:tc>
          <w:tcPr>
            <w:tcW w:type="dxa" w:w="6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Master screen controller: key 1 toggle, layout management, component orchestration, gauge data binding, alarm wiring.</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OperatorScreenBuilder.cs</w:t>
            </w:r>
          </w:p>
        </w:tc>
        <w:tc>
          <w:tcPr>
            <w:tcW w:type="dxa" w:w="6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Editor tool to generate complete UI hierarchy. Menu: Critical &gt; Create Operator Screen. Wires all references.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Integration + Test</w:t>
            </w:r>
          </w:p>
        </w:tc>
        <w:tc>
          <w:tcPr>
            <w:tcW w:type="dxa" w:w="64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Connect to ReactorController, verify data flow at HZP/50%/100% power states, validate alarm triggers, test interaction (hover, click, bank filter).</w:t>
            </w:r>
          </w:p>
        </w:tc>
      </w:tr>
    </w:tbl>
    <w:p>
      <w:pPr>
        <w:pStyle w:val="Heading2"/>
      </w:pPr>
      <w:r>
        <w:rPr>
          <w:rFonts w:ascii="Arial" w:cs="Arial" w:eastAsia="Arial" w:hAnsi="Arial"/>
          <w:b/>
          <w:bCs/>
          <w:sz w:val="28"/>
          <w:szCs w:val="28"/>
        </w:rPr>
        <w:t xml:space="preserve">6.2 Technical Constraints</w:t>
      </w:r>
    </w:p>
    <w:p>
      <w:pPr>
        <w:pStyle w:val="ListParagraph"/>
        <w:numPr>
          <w:ilvl w:val="0"/>
          <w:numId w:val="2"/>
        </w:numPr>
        <w:spacing w:after="80"/>
      </w:pPr>
      <w:r>
        <w:rPr>
          <w:rFonts w:ascii="Arial" w:cs="Arial" w:eastAsia="Arial" w:hAnsi="Arial"/>
          <w:sz w:val="22"/>
          <w:szCs w:val="22"/>
        </w:rPr>
        <w:t xml:space="preserve">GOLD standard modules (ReactorCore, ControlRodBank, FuelAssembly, PlantConstants, all physics) must NOT be modified</w:t>
      </w:r>
    </w:p>
    <w:p>
      <w:pPr>
        <w:pStyle w:val="ListParagraph"/>
        <w:numPr>
          <w:ilvl w:val="0"/>
          <w:numId w:val="2"/>
        </w:numPr>
        <w:spacing w:after="80"/>
      </w:pPr>
      <w:r>
        <w:rPr>
          <w:rFonts w:ascii="Arial" w:cs="Arial" w:eastAsia="Arial" w:hAnsi="Arial"/>
          <w:sz w:val="22"/>
          <w:szCs w:val="22"/>
        </w:rPr>
        <w:t xml:space="preserve">GUI update rate: 10 Hz (100ms) for gauges, 2 Hz (500ms) for core map color updates (performance)</w:t>
      </w:r>
    </w:p>
    <w:p>
      <w:pPr>
        <w:pStyle w:val="ListParagraph"/>
        <w:numPr>
          <w:ilvl w:val="0"/>
          <w:numId w:val="2"/>
        </w:numPr>
        <w:spacing w:after="80"/>
      </w:pPr>
      <w:r>
        <w:rPr>
          <w:rFonts w:ascii="Arial" w:cs="Arial" w:eastAsia="Arial" w:hAnsi="Arial"/>
          <w:sz w:val="22"/>
          <w:szCs w:val="22"/>
        </w:rPr>
        <w:t xml:space="preserve">All rendering via Unity uGUI (Canvas, Image, Text, Button) — no custom shaders required for Phase 1</w:t>
      </w:r>
    </w:p>
    <w:p>
      <w:pPr>
        <w:pStyle w:val="ListParagraph"/>
        <w:numPr>
          <w:ilvl w:val="0"/>
          <w:numId w:val="2"/>
        </w:numPr>
        <w:spacing w:after="80"/>
      </w:pPr>
      <w:r>
        <w:rPr>
          <w:rFonts w:ascii="Arial" w:cs="Arial" w:eastAsia="Arial" w:hAnsi="Arial"/>
          <w:sz w:val="22"/>
          <w:szCs w:val="22"/>
        </w:rPr>
        <w:t xml:space="preserve">Core map uses 193 pre-instantiated Image GameObjects (not dynamically created each frame)</w:t>
      </w:r>
    </w:p>
    <w:p>
      <w:pPr>
        <w:pStyle w:val="ListParagraph"/>
        <w:numPr>
          <w:ilvl w:val="0"/>
          <w:numId w:val="2"/>
        </w:numPr>
        <w:spacing w:after="80"/>
      </w:pPr>
      <w:r>
        <w:rPr>
          <w:rFonts w:ascii="Arial" w:cs="Arial" w:eastAsia="Arial" w:hAnsi="Arial"/>
          <w:sz w:val="22"/>
          <w:szCs w:val="22"/>
        </w:rPr>
        <w:t xml:space="preserve">Tooltip and detail panel use object pooling (show/hide, not create/destroy)</w:t>
      </w:r>
    </w:p>
    <w:p>
      <w:pPr>
        <w:pStyle w:val="ListParagraph"/>
        <w:numPr>
          <w:ilvl w:val="0"/>
          <w:numId w:val="2"/>
        </w:numPr>
        <w:spacing w:after="80"/>
      </w:pPr>
      <w:r>
        <w:rPr>
          <w:rFonts w:ascii="Arial" w:cs="Arial" w:eastAsia="Arial" w:hAnsi="Arial"/>
          <w:sz w:val="22"/>
          <w:szCs w:val="22"/>
        </w:rPr>
        <w:t xml:space="preserve">All RCCA bank assignments and core geometry must be validated against Westinghouse 4-Loop PWR technical specifications</w:t>
      </w:r>
    </w:p>
    <w:p>
      <w:pPr>
        <w:pStyle w:val="Heading2"/>
      </w:pPr>
      <w:r>
        <w:rPr>
          <w:rFonts w:ascii="Arial" w:cs="Arial" w:eastAsia="Arial" w:hAnsi="Arial"/>
          <w:b/>
          <w:bCs/>
          <w:sz w:val="28"/>
          <w:szCs w:val="28"/>
        </w:rPr>
        <w:t xml:space="preserve">6.3 Acceptance Criteria</w:t>
      </w:r>
    </w:p>
    <w:p>
      <w:pPr>
        <w:pStyle w:val="ListParagraph"/>
        <w:numPr>
          <w:ilvl w:val="0"/>
          <w:numId w:val="3"/>
        </w:numPr>
        <w:spacing w:after="80"/>
      </w:pPr>
      <w:r>
        <w:rPr>
          <w:rFonts w:ascii="Arial" w:cs="Arial" w:eastAsia="Arial" w:hAnsi="Arial"/>
          <w:sz w:val="22"/>
          <w:szCs w:val="22"/>
        </w:rPr>
        <w:t xml:space="preserve">All 193 assembly cells render in correct Westinghouse cross-pattern with no gaps or misalignment</w:t>
      </w:r>
    </w:p>
    <w:p>
      <w:pPr>
        <w:pStyle w:val="ListParagraph"/>
        <w:numPr>
          <w:ilvl w:val="0"/>
          <w:numId w:val="3"/>
        </w:numPr>
        <w:spacing w:after="80"/>
      </w:pPr>
      <w:r>
        <w:rPr>
          <w:rFonts w:ascii="Arial" w:cs="Arial" w:eastAsia="Arial" w:hAnsi="Arial"/>
          <w:sz w:val="22"/>
          <w:szCs w:val="22"/>
        </w:rPr>
        <w:t xml:space="preserve">53 RCCA locations correctly identified and bank-assigned per reference plant data</w:t>
      </w:r>
    </w:p>
    <w:p>
      <w:pPr>
        <w:pStyle w:val="ListParagraph"/>
        <w:numPr>
          <w:ilvl w:val="0"/>
          <w:numId w:val="3"/>
        </w:numPr>
        <w:spacing w:after="80"/>
      </w:pPr>
      <w:r>
        <w:rPr>
          <w:rFonts w:ascii="Arial" w:cs="Arial" w:eastAsia="Arial" w:hAnsi="Arial"/>
          <w:sz w:val="22"/>
          <w:szCs w:val="22"/>
        </w:rPr>
        <w:t xml:space="preserve">Core map color-coding updates in real-time reflecting ReactorCore physics state</w:t>
      </w:r>
    </w:p>
    <w:p>
      <w:pPr>
        <w:pStyle w:val="ListParagraph"/>
        <w:numPr>
          <w:ilvl w:val="0"/>
          <w:numId w:val="3"/>
        </w:numPr>
        <w:spacing w:after="80"/>
      </w:pPr>
      <w:r>
        <w:rPr>
          <w:rFonts w:ascii="Arial" w:cs="Arial" w:eastAsia="Arial" w:hAnsi="Arial"/>
          <w:sz w:val="22"/>
          <w:szCs w:val="22"/>
        </w:rPr>
        <w:t xml:space="preserve">All 17 gauges (9 left + 8 right) display correct data from ReactorController with proper units and ranges</w:t>
      </w:r>
    </w:p>
    <w:p>
      <w:pPr>
        <w:pStyle w:val="ListParagraph"/>
        <w:numPr>
          <w:ilvl w:val="0"/>
          <w:numId w:val="3"/>
        </w:numPr>
        <w:spacing w:after="80"/>
      </w:pPr>
      <w:r>
        <w:rPr>
          <w:rFonts w:ascii="Arial" w:cs="Arial" w:eastAsia="Arial" w:hAnsi="Arial"/>
          <w:sz w:val="22"/>
          <w:szCs w:val="22"/>
        </w:rPr>
        <w:t xml:space="preserve">Rod control commands (withdraw, insert, stop, trip, reset) function correctly through GUI buttons</w:t>
      </w:r>
    </w:p>
    <w:p>
      <w:pPr>
        <w:pStyle w:val="ListParagraph"/>
        <w:numPr>
          <w:ilvl w:val="0"/>
          <w:numId w:val="3"/>
        </w:numPr>
        <w:spacing w:after="80"/>
      </w:pPr>
      <w:r>
        <w:rPr>
          <w:rFonts w:ascii="Arial" w:cs="Arial" w:eastAsia="Arial" w:hAnsi="Arial"/>
          <w:sz w:val="22"/>
          <w:szCs w:val="22"/>
        </w:rPr>
        <w:t xml:space="preserve">Bank position bars accurately track all 8 banks with correct bank colors and step counts</w:t>
      </w:r>
    </w:p>
    <w:p>
      <w:pPr>
        <w:pStyle w:val="ListParagraph"/>
        <w:numPr>
          <w:ilvl w:val="0"/>
          <w:numId w:val="3"/>
        </w:numPr>
        <w:spacing w:after="80"/>
      </w:pPr>
      <w:r>
        <w:rPr>
          <w:rFonts w:ascii="Arial" w:cs="Arial" w:eastAsia="Arial" w:hAnsi="Arial"/>
          <w:sz w:val="22"/>
          <w:szCs w:val="22"/>
        </w:rPr>
        <w:t xml:space="preserve">Alarm annunciator tiles trigger and flash correctly for all defined alarm conditions</w:t>
      </w:r>
    </w:p>
    <w:p>
      <w:pPr>
        <w:pStyle w:val="ListParagraph"/>
        <w:numPr>
          <w:ilvl w:val="0"/>
          <w:numId w:val="3"/>
        </w:numPr>
        <w:spacing w:after="80"/>
      </w:pPr>
      <w:r>
        <w:rPr>
          <w:rFonts w:ascii="Arial" w:cs="Arial" w:eastAsia="Arial" w:hAnsi="Arial"/>
          <w:sz w:val="22"/>
          <w:szCs w:val="22"/>
        </w:rPr>
        <w:t xml:space="preserve">Interactive core map: hover shows tooltip, click selects assembly, bank filter highlights correct positions</w:t>
      </w:r>
    </w:p>
    <w:p>
      <w:pPr>
        <w:pStyle w:val="ListParagraph"/>
        <w:numPr>
          <w:ilvl w:val="0"/>
          <w:numId w:val="3"/>
        </w:numPr>
        <w:spacing w:after="80"/>
      </w:pPr>
      <w:r>
        <w:rPr>
          <w:rFonts w:ascii="Arial" w:cs="Arial" w:eastAsia="Arial" w:hAnsi="Arial"/>
          <w:sz w:val="22"/>
          <w:szCs w:val="22"/>
        </w:rPr>
        <w:t xml:space="preserve">Screen toggle (key 1) shows/hides entire GUI without affecting simulation state</w:t>
      </w:r>
    </w:p>
    <w:p>
      <w:pPr>
        <w:pStyle w:val="ListParagraph"/>
        <w:numPr>
          <w:ilvl w:val="0"/>
          <w:numId w:val="3"/>
        </w:numPr>
        <w:spacing w:after="80"/>
      </w:pPr>
      <w:r>
        <w:rPr>
          <w:rFonts w:ascii="Arial" w:cs="Arial" w:eastAsia="Arial" w:hAnsi="Arial"/>
          <w:sz w:val="22"/>
          <w:szCs w:val="22"/>
        </w:rPr>
        <w:t xml:space="preserve">Time compression controls function correctly across full range (1x to 10000x)</w:t>
      </w:r>
    </w:p>
    <w:p>
      <w:r>
        <w:br w:type="page"/>
      </w:r>
    </w:p>
    <w:p>
      <w:pPr>
        <w:pStyle w:val="Heading1"/>
      </w:pPr>
      <w:r>
        <w:rPr>
          <w:rFonts w:ascii="Arial" w:cs="Arial" w:eastAsia="Arial" w:hAnsi="Arial"/>
          <w:b/>
          <w:bCs/>
          <w:sz w:val="32"/>
          <w:szCs w:val="32"/>
        </w:rPr>
        <w:t xml:space="preserve">7. Pixel Layout Specification (1920 x 1080)</w:t>
      </w:r>
    </w:p>
    <w:p>
      <w:pPr>
        <w:spacing w:after="120"/>
      </w:pPr>
      <w:r>
        <w:rPr>
          <w:rFonts w:ascii="Arial" w:cs="Arial" w:eastAsia="Arial" w:hAnsi="Arial"/>
          <w:sz w:val="22"/>
          <w:szCs w:val="22"/>
        </w:rPr>
        <w:t xml:space="preserve">Exact pixel regions for the four layout zones, accounting for 4px panel margins:</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2640"/>
      </w:tblGrid>
      <w:tr>
        <w:tc>
          <w:tcPr>
            <w:tcW w:type="dxa" w:w="24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Zone</w:t>
            </w:r>
          </w:p>
        </w:tc>
        <w:tc>
          <w:tcPr>
            <w:tcW w:type="dxa" w:w="12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X</w:t>
            </w:r>
          </w:p>
        </w:tc>
        <w:tc>
          <w:tcPr>
            <w:tcW w:type="dxa" w:w="12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Y</w:t>
            </w:r>
          </w:p>
        </w:tc>
        <w:tc>
          <w:tcPr>
            <w:tcW w:type="dxa" w:w="12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Width</w:t>
            </w:r>
          </w:p>
        </w:tc>
        <w:tc>
          <w:tcPr>
            <w:tcW w:type="dxa" w:w="12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Height</w:t>
            </w:r>
          </w:p>
        </w:tc>
        <w:tc>
          <w:tcPr>
            <w:tcW w:type="dxa" w:w="26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Consolas" w:cs="Consolas" w:eastAsia="Consolas" w:hAnsi="Consolas"/>
                <w:b/>
                <w:bCs/>
                <w:color w:val="00FF88"/>
                <w:sz w:val="20"/>
                <w:szCs w:val="20"/>
              </w:rPr>
              <w:t xml:space="preserve">Notes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Left Gauges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788</w:t>
            </w:r>
          </w:p>
        </w:tc>
        <w:tc>
          <w:tcPr>
            <w:tcW w:type="dxa" w:w="2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 gauges @ ~85px each</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Core Map Area</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288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960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788</w:t>
            </w:r>
          </w:p>
        </w:tc>
        <w:tc>
          <w:tcPr>
            <w:tcW w:type="dxa" w:w="2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Map + mode buttons + bank buttons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Right Gauges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1252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788</w:t>
            </w:r>
          </w:p>
        </w:tc>
        <w:tc>
          <w:tcPr>
            <w:tcW w:type="dxa" w:w="2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 gauges @ ~96px each</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Detail Panel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1536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788</w:t>
            </w:r>
          </w:p>
        </w:tc>
        <w:tc>
          <w:tcPr>
            <w:tcW w:type="dxa" w:w="2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Assembly detail (when selected)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Bottom Panel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796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1912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280</w:t>
            </w:r>
          </w:p>
        </w:tc>
        <w:tc>
          <w:tcPr>
            <w:tcW w:type="dxa" w:w="2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Controls + alarms</w:t>
            </w:r>
          </w:p>
        </w:tc>
      </w:tr>
    </w:tbl>
    <w:p>
      <w:pPr>
        <w:spacing w:after="60"/>
      </w:pPr>
    </w:p>
    <w:p>
      <w:pPr>
        <w:spacing w:after="120"/>
      </w:pPr>
      <w:r>
        <w:rPr>
          <w:rFonts w:ascii="Arial" w:cs="Arial" w:eastAsia="Arial" w:hAnsi="Arial"/>
          <w:sz w:val="22"/>
          <w:szCs w:val="22"/>
        </w:rPr>
        <w:t xml:space="preserve">The core map rendering area within the Core Map Zone is approximately 480 x 480 pixels (32px per cell x 15 cells), leaving room for mode selector buttons above and bank filter buttons below.</w:t>
      </w:r>
    </w:p>
    <w:p>
      <w:pPr>
        <w:spacing w:after="120"/>
      </w:pPr>
      <w:r>
        <w:rPr>
          <w:rFonts w:ascii="Arial" w:cs="Arial" w:eastAsia="Arial" w:hAnsi="Arial"/>
          <w:sz w:val="22"/>
          <w:szCs w:val="22"/>
        </w:rPr>
        <w:t xml:space="preserve">The detail panel on the far right is only visible when an assembly is selected. When no assembly is selected, the right gauge column extends to fill the available space, or the core map area widens slightly.</w:t>
      </w:r>
    </w:p>
    <w:p>
      <w:r>
        <w:br w:type="page"/>
      </w:r>
    </w:p>
    <w:p>
      <w:pPr>
        <w:pStyle w:val="Heading1"/>
      </w:pPr>
      <w:r>
        <w:rPr>
          <w:rFonts w:ascii="Arial" w:cs="Arial" w:eastAsia="Arial" w:hAnsi="Arial"/>
          <w:b/>
          <w:bCs/>
          <w:sz w:val="32"/>
          <w:szCs w:val="32"/>
        </w:rPr>
        <w:t xml:space="preserve">8. Technical References</w:t>
      </w:r>
    </w:p>
    <w:p>
      <w:pPr>
        <w:pStyle w:val="ListParagraph"/>
        <w:numPr>
          <w:ilvl w:val="0"/>
          <w:numId w:val="2"/>
        </w:numPr>
        <w:spacing w:after="80"/>
      </w:pPr>
      <w:r>
        <w:rPr>
          <w:rFonts w:ascii="Arial" w:cs="Arial" w:eastAsia="Arial" w:hAnsi="Arial"/>
          <w:sz w:val="22"/>
          <w:szCs w:val="22"/>
        </w:rPr>
        <w:t xml:space="preserve">NRC ML11223A212 — Westinghouse Technology Systems Manual, Section 3.1: Reactor Vessel and Internals (core loading arrangement, RCCA design parameters)</w:t>
      </w:r>
    </w:p>
    <w:p>
      <w:pPr>
        <w:pStyle w:val="ListParagraph"/>
        <w:numPr>
          <w:ilvl w:val="0"/>
          <w:numId w:val="2"/>
        </w:numPr>
        <w:spacing w:after="80"/>
      </w:pPr>
      <w:r>
        <w:rPr>
          <w:rFonts w:ascii="Arial" w:cs="Arial" w:eastAsia="Arial" w:hAnsi="Arial"/>
          <w:sz w:val="22"/>
          <w:szCs w:val="22"/>
        </w:rPr>
        <w:t xml:space="preserve">NRC ML11223A342 — Westinghouse Technology Systems Manual, Section 19.0: Plant Operations (startup/shutdown procedures, control room operations)</w:t>
      </w:r>
    </w:p>
    <w:p>
      <w:pPr>
        <w:pStyle w:val="ListParagraph"/>
        <w:numPr>
          <w:ilvl w:val="0"/>
          <w:numId w:val="2"/>
        </w:numPr>
        <w:spacing w:after="80"/>
      </w:pPr>
      <w:r>
        <w:rPr>
          <w:rFonts w:ascii="Arial" w:cs="Arial" w:eastAsia="Arial" w:hAnsi="Arial"/>
          <w:sz w:val="22"/>
          <w:szCs w:val="22"/>
        </w:rPr>
        <w:t xml:space="preserve">Westinghouse 4-Loop FSAR Chapter 4 — Reactor Design (fuel assembly specifications, RCCA bank assignments, core geometry)</w:t>
      </w:r>
    </w:p>
    <w:p>
      <w:pPr>
        <w:pStyle w:val="ListParagraph"/>
        <w:numPr>
          <w:ilvl w:val="0"/>
          <w:numId w:val="2"/>
        </w:numPr>
        <w:spacing w:after="80"/>
      </w:pPr>
      <w:r>
        <w:rPr>
          <w:rFonts w:ascii="Arial" w:cs="Arial" w:eastAsia="Arial" w:hAnsi="Arial"/>
          <w:sz w:val="22"/>
          <w:szCs w:val="22"/>
        </w:rPr>
        <w:t xml:space="preserve">NRC NUREG/CR-6042 — Control Room Design Review Guidelines (human factors engineering for nuclear plant control rooms)</w:t>
      </w:r>
    </w:p>
    <w:p>
      <w:pPr>
        <w:pStyle w:val="ListParagraph"/>
        <w:numPr>
          <w:ilvl w:val="0"/>
          <w:numId w:val="2"/>
        </w:numPr>
        <w:spacing w:after="80"/>
      </w:pPr>
      <w:r>
        <w:rPr>
          <w:rFonts w:ascii="Arial" w:cs="Arial" w:eastAsia="Arial" w:hAnsi="Arial"/>
          <w:sz w:val="22"/>
          <w:szCs w:val="22"/>
        </w:rPr>
        <w:t xml:space="preserve">MIT OCW 22.06 — Engineering of Nuclear Systems, PWR Description (Buongiorno): fuel assembly geometry, RCCA configuration, core parameters</w:t>
      </w:r>
    </w:p>
    <w:p>
      <w:pPr>
        <w:pStyle w:val="ListParagraph"/>
        <w:numPr>
          <w:ilvl w:val="0"/>
          <w:numId w:val="2"/>
        </w:numPr>
        <w:spacing w:after="80"/>
      </w:pPr>
      <w:r>
        <w:rPr>
          <w:rFonts w:ascii="Arial" w:cs="Arial" w:eastAsia="Arial" w:hAnsi="Arial"/>
          <w:sz w:val="22"/>
          <w:szCs w:val="22"/>
        </w:rPr>
        <w:t xml:space="preserve">Existing CRITICAL Codebase — PlantConstants.cs, ControlRodBank.cs, FuelAssembly.cs, ReactorController.cs, MosaicBoard.cs and related UI components</w:t>
      </w:r>
    </w:p>
    <w:p>
      <w:pPr>
        <w:spacing w:after="60"/>
      </w:pPr>
    </w:p>
    <w:p>
      <w:pPr>
        <w:spacing w:before="400"/>
        <w:jc w:val="center"/>
      </w:pPr>
      <w:r>
        <w:rPr>
          <w:rFonts w:ascii="Arial" w:cs="Arial" w:eastAsia="Arial" w:hAnsi="Arial"/>
          <w:i/>
          <w:iCs/>
          <w:color w:val="888888"/>
          <w:sz w:val="20"/>
          <w:szCs w:val="20"/>
        </w:rPr>
        <w:t xml:space="preserve">— End of Design Document —</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CRITICAL: Master the Atom — Reactor Operator GUI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D2D44"/>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2026-02-06T19:35:13.415Z</dcterms:created>
  <dcterms:modified xsi:type="dcterms:W3CDTF">2026-02-06T19:35:13.416Z</dcterms:modified>
</cp:coreProperties>
</file>

<file path=docProps/custom.xml><?xml version="1.0" encoding="utf-8"?>
<Properties xmlns="http://schemas.openxmlformats.org/officeDocument/2006/custom-properties" xmlns:vt="http://schemas.openxmlformats.org/officeDocument/2006/docPropsVTypes"/>
</file>