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Craig C. Cline</w:t>
      </w:r>
    </w:p>
    <w:p>
      <w:pPr>
        <w:spacing w:after="120"/>
        <w:jc w:val="center"/>
      </w:pPr>
      <w:r>
        <w:rPr>
          <w:i/>
          <w:iCs/>
          <w:sz w:val="20"/>
          <w:szCs w:val="20"/>
        </w:rPr>
        <w:t xml:space="preserve">Architect  •  Structural Engineer  •  Inventor  •  AI Alignment Researcher</w:t>
      </w:r>
    </w:p>
    <w:p>
      <w:pPr>
        <w:spacing w:after="120"/>
        <w:jc w:val="center"/>
      </w:pPr>
      <w:r>
        <w:rPr>
          <w:sz w:val="20"/>
          <w:szCs w:val="20"/>
        </w:rPr>
        <w:t xml:space="preserve">Clyde, North Carolina  |  clinearts@gmail.com</w:t>
      </w:r>
    </w:p>
    <w:p>
      <w:pPr>
        <w:pBdr>
          <w:bottom w:val="single" w:color="999999" w:sz="6"/>
        </w:pBdr>
        <w:spacing w:after="200"/>
      </w:pPr>
    </w:p>
    <w:p>
      <w:pPr>
        <w:pStyle w:val="Heading2"/>
        <w:spacing w:after="120" w:before="300"/>
      </w:pPr>
      <w:r>
        <w:rPr>
          <w:b/>
          <w:bCs/>
          <w:caps/>
          <w:color w:val="1F3864"/>
          <w:sz w:val="24"/>
          <w:szCs w:val="24"/>
        </w:rPr>
        <w:t xml:space="preserve">Profile</w:t>
      </w:r>
    </w:p>
    <w:p>
      <w:pPr>
        <w:spacing w:after="80"/>
      </w:pPr>
      <w:r>
        <w:rPr>
          <w:sz w:val="21"/>
          <w:szCs w:val="21"/>
        </w:rPr>
        <w:t xml:space="preserve">Retired architect and structural engineer with approximately 50 years of building, design, and invention experience across architecture, engineering, film production, historic preservation, and technology. Independent AI researcher and inventor since retirement, applying structural and systems thinking to AI alignment, forensic video authentication, and spatial observation systems. Holds two provisional U.S. patents, filed pro se.</w:t>
      </w:r>
    </w:p>
    <w:p>
      <w:pPr>
        <w:pStyle w:val="Heading2"/>
        <w:spacing w:after="120" w:before="300"/>
      </w:pPr>
      <w:r>
        <w:rPr>
          <w:b/>
          <w:bCs/>
          <w:caps/>
          <w:color w:val="1F3864"/>
          <w:sz w:val="24"/>
          <w:szCs w:val="24"/>
        </w:rPr>
        <w:t xml:space="preserve">Education</w:t>
      </w:r>
    </w:p>
    <w:p>
      <w:pPr>
        <w:tabs>
          <w:tab w:val="right" w:pos="9350"/>
        </w:tabs>
        <w:spacing w:after="20" w:before="160"/>
      </w:pPr>
      <w:r>
        <w:rPr>
          <w:b/>
          <w:bCs/>
          <w:sz w:val="22"/>
          <w:szCs w:val="22"/>
        </w:rPr>
        <w:t xml:space="preserve">Bachelor of Architecture</w:t>
      </w:r>
      <w:r>
        <w:rPr>
          <w:i/>
          <w:iCs/>
          <w:sz w:val="22"/>
          <w:szCs w:val="22"/>
        </w:rPr>
        <w:t xml:space="preserve">  —  University of Tennessee</w:t>
      </w:r>
    </w:p>
    <w:p>
      <w:pPr>
        <w:spacing w:after="60"/>
      </w:pPr>
      <w:r>
        <w:rPr>
          <w:color w:val="555555"/>
          <w:sz w:val="20"/>
          <w:szCs w:val="20"/>
        </w:rPr>
        <w:t xml:space="preserve">1975</w:t>
      </w:r>
    </w:p>
    <w:p>
      <w:pPr>
        <w:tabs>
          <w:tab w:val="right" w:pos="9350"/>
        </w:tabs>
        <w:spacing w:after="20" w:before="160"/>
      </w:pPr>
      <w:r>
        <w:rPr>
          <w:b/>
          <w:bCs/>
          <w:sz w:val="22"/>
          <w:szCs w:val="22"/>
        </w:rPr>
        <w:t xml:space="preserve">Architectural Design Studies</w:t>
      </w:r>
      <w:r>
        <w:rPr>
          <w:i/>
          <w:iCs/>
          <w:sz w:val="22"/>
          <w:szCs w:val="22"/>
        </w:rPr>
        <w:t xml:space="preserve">  —  École d'Art Américaines, Fontainebleau, France</w:t>
      </w:r>
    </w:p>
    <w:p>
      <w:pPr>
        <w:spacing w:after="60"/>
      </w:pPr>
      <w:r>
        <w:rPr>
          <w:color w:val="555555"/>
          <w:sz w:val="20"/>
          <w:szCs w:val="20"/>
        </w:rPr>
        <w:t xml:space="preserve"/>
      </w:r>
    </w:p>
    <w:p>
      <w:pPr>
        <w:pStyle w:val="Heading2"/>
        <w:spacing w:after="120" w:before="300"/>
      </w:pPr>
      <w:r>
        <w:rPr>
          <w:b/>
          <w:bCs/>
          <w:caps/>
          <w:color w:val="1F3864"/>
          <w:sz w:val="24"/>
          <w:szCs w:val="24"/>
        </w:rPr>
        <w:t xml:space="preserve">Professional Experience</w:t>
      </w:r>
    </w:p>
    <w:p>
      <w:pPr>
        <w:tabs>
          <w:tab w:val="right" w:pos="9350"/>
        </w:tabs>
        <w:spacing w:after="20" w:before="160"/>
      </w:pPr>
      <w:r>
        <w:rPr>
          <w:b/>
          <w:bCs/>
          <w:sz w:val="22"/>
          <w:szCs w:val="22"/>
        </w:rPr>
        <w:t xml:space="preserve">Owner / Manager</w:t>
      </w:r>
      <w:r>
        <w:rPr>
          <w:i/>
          <w:iCs/>
          <w:sz w:val="22"/>
          <w:szCs w:val="22"/>
        </w:rPr>
        <w:t xml:space="preserve">  —  Cline-Ward LLC — Real Estate Development &amp; Rentals, Clyde, NC</w:t>
      </w:r>
    </w:p>
    <w:p>
      <w:pPr>
        <w:spacing w:after="60"/>
      </w:pPr>
      <w:r>
        <w:rPr>
          <w:color w:val="555555"/>
          <w:sz w:val="20"/>
          <w:szCs w:val="20"/>
        </w:rPr>
        <w:t xml:space="preserve">2012 – Present</w:t>
      </w:r>
    </w:p>
    <w:p>
      <w:pPr>
        <w:pStyle w:val="ListParagraph"/>
        <w:numPr>
          <w:ilvl w:val="0"/>
          <w:numId w:val="1"/>
        </w:numPr>
        <w:spacing w:after="40"/>
      </w:pPr>
      <w:r>
        <w:rPr>
          <w:sz w:val="21"/>
          <w:szCs w:val="21"/>
        </w:rPr>
        <w:t xml:space="preserve">Own and manage a portfolio of properties including two personal residences (Rosemary Cottage and Longview) and three historic vacation rentals (Elizabeth Cottage, Three Bears Cottage, and The Barn at Ferguson Cove) in the Asheville / Clyde, NC area.</w:t>
      </w:r>
    </w:p>
    <w:p>
      <w:pPr>
        <w:pStyle w:val="ListParagraph"/>
        <w:numPr>
          <w:ilvl w:val="0"/>
          <w:numId w:val="1"/>
        </w:numPr>
        <w:spacing w:after="40"/>
      </w:pPr>
      <w:r>
        <w:rPr>
          <w:sz w:val="21"/>
          <w:szCs w:val="21"/>
        </w:rPr>
        <w:t xml:space="preserve">Oversee renovation, historic preservation, and ongoing capital improvement projects across the portfolio.</w:t>
      </w:r>
    </w:p>
    <w:p>
      <w:pPr>
        <w:tabs>
          <w:tab w:val="right" w:pos="9350"/>
        </w:tabs>
        <w:spacing w:after="20" w:before="160"/>
      </w:pPr>
      <w:r>
        <w:rPr>
          <w:b/>
          <w:bCs/>
          <w:sz w:val="22"/>
          <w:szCs w:val="22"/>
        </w:rPr>
        <w:t xml:space="preserve">Independent AI Researcher &amp; Inventor</w:t>
      </w:r>
      <w:r>
        <w:rPr>
          <w:i/>
          <w:iCs/>
          <w:sz w:val="22"/>
          <w:szCs w:val="22"/>
        </w:rPr>
        <w:t xml:space="preserve">  —  Cline-Ward LLC, Clyde, NC</w:t>
      </w:r>
    </w:p>
    <w:p>
      <w:pPr>
        <w:spacing w:after="60"/>
      </w:pPr>
      <w:r>
        <w:rPr>
          <w:color w:val="555555"/>
          <w:sz w:val="20"/>
          <w:szCs w:val="20"/>
        </w:rPr>
        <w:t xml:space="preserve">2019 – Present</w:t>
      </w:r>
    </w:p>
    <w:p>
      <w:pPr>
        <w:pStyle w:val="ListParagraph"/>
        <w:numPr>
          <w:ilvl w:val="0"/>
          <w:numId w:val="1"/>
        </w:numPr>
        <w:spacing w:after="40"/>
      </w:pPr>
      <w:r>
        <w:rPr>
          <w:sz w:val="21"/>
          <w:szCs w:val="21"/>
        </w:rPr>
        <w:t xml:space="preserve">Developed the Terrain Grounded Doctrine (TGD) / reAIign alignment framework, including the SEITWH scoring system, OPICL sufficiency check, and Health Index.</w:t>
      </w:r>
    </w:p>
    <w:p>
      <w:pPr>
        <w:pStyle w:val="ListParagraph"/>
        <w:numPr>
          <w:ilvl w:val="0"/>
          <w:numId w:val="1"/>
        </w:numPr>
        <w:spacing w:after="40"/>
      </w:pPr>
      <w:r>
        <w:rPr>
          <w:sz w:val="21"/>
          <w:szCs w:val="21"/>
        </w:rPr>
        <w:t xml:space="preserve">Developed the ANA+SCO forensic video authentication system and the underlying J-M Effect white paper (Zenodo DOI 10.5281/zenodo.19697860).</w:t>
      </w:r>
    </w:p>
    <w:p>
      <w:pPr>
        <w:pStyle w:val="ListParagraph"/>
        <w:numPr>
          <w:ilvl w:val="0"/>
          <w:numId w:val="1"/>
        </w:numPr>
        <w:spacing w:after="40"/>
      </w:pPr>
      <w:r>
        <w:rPr>
          <w:sz w:val="21"/>
          <w:szCs w:val="21"/>
        </w:rPr>
        <w:t xml:space="preserve">Filed two U.S. provisional patents pro se: Pre-Inference Signal Conditioning Gateway (#63/982,508) and the ANA+SCO forensic video authentication system (#64/056,727).</w:t>
      </w:r>
    </w:p>
    <w:p>
      <w:pPr>
        <w:pStyle w:val="ListParagraph"/>
        <w:numPr>
          <w:ilvl w:val="0"/>
          <w:numId w:val="1"/>
        </w:numPr>
        <w:spacing w:after="40"/>
      </w:pPr>
      <w:r>
        <w:rPr>
          <w:sz w:val="21"/>
          <w:szCs w:val="21"/>
        </w:rPr>
        <w:t xml:space="preserve">Designed and built the SENTINEL RIG stereo camera and Direct Camera Interface (DCI) capture pipeline.</w:t>
      </w:r>
    </w:p>
    <w:p>
      <w:pPr>
        <w:pStyle w:val="ListParagraph"/>
        <w:numPr>
          <w:ilvl w:val="0"/>
          <w:numId w:val="1"/>
        </w:numPr>
        <w:spacing w:after="40"/>
      </w:pPr>
      <w:r>
        <w:rPr>
          <w:sz w:val="21"/>
          <w:szCs w:val="21"/>
        </w:rPr>
        <w:t xml:space="preserve">Wrote and produced The Menace.AI, a 9-episode film treatment dramatizing the TGD thesis.</w:t>
      </w:r>
    </w:p>
    <w:p>
      <w:pPr>
        <w:tabs>
          <w:tab w:val="right" w:pos="9350"/>
        </w:tabs>
        <w:spacing w:after="20" w:before="160"/>
      </w:pPr>
      <w:r>
        <w:rPr>
          <w:b/>
          <w:bCs/>
          <w:sz w:val="22"/>
          <w:szCs w:val="22"/>
        </w:rPr>
        <w:t xml:space="preserve">Vice President</w:t>
      </w:r>
      <w:r>
        <w:rPr>
          <w:i/>
          <w:iCs/>
          <w:sz w:val="22"/>
          <w:szCs w:val="22"/>
        </w:rPr>
        <w:t xml:space="preserve">  —  Pacific Interiors, Marietta, GA</w:t>
      </w:r>
    </w:p>
    <w:p>
      <w:pPr>
        <w:spacing w:after="60"/>
      </w:pPr>
      <w:r>
        <w:rPr>
          <w:color w:val="555555"/>
          <w:sz w:val="20"/>
          <w:szCs w:val="20"/>
        </w:rPr>
        <w:t xml:space="preserve">1991 – 2012</w:t>
      </w:r>
    </w:p>
    <w:p>
      <w:pPr>
        <w:pStyle w:val="ListParagraph"/>
        <w:numPr>
          <w:ilvl w:val="0"/>
          <w:numId w:val="1"/>
        </w:numPr>
        <w:spacing w:after="40"/>
      </w:pPr>
      <w:r>
        <w:rPr>
          <w:sz w:val="21"/>
          <w:szCs w:val="21"/>
        </w:rPr>
        <w:t xml:space="preserve">Led sales for six consecutive years.</w:t>
      </w:r>
    </w:p>
    <w:p>
      <w:pPr>
        <w:pStyle w:val="ListParagraph"/>
        <w:numPr>
          <w:ilvl w:val="0"/>
          <w:numId w:val="1"/>
        </w:numPr>
        <w:spacing w:after="40"/>
      </w:pPr>
      <w:r>
        <w:rPr>
          <w:sz w:val="21"/>
          <w:szCs w:val="21"/>
        </w:rPr>
        <w:t xml:space="preserve">Developed automation software for all business operations.</w:t>
      </w:r>
    </w:p>
    <w:p>
      <w:pPr>
        <w:tabs>
          <w:tab w:val="right" w:pos="9350"/>
        </w:tabs>
        <w:spacing w:after="20" w:before="160"/>
      </w:pPr>
      <w:r>
        <w:rPr>
          <w:b/>
          <w:bCs/>
          <w:sz w:val="22"/>
          <w:szCs w:val="22"/>
        </w:rPr>
        <w:t xml:space="preserve">Founder</w:t>
      </w:r>
      <w:r>
        <w:rPr>
          <w:i/>
          <w:iCs/>
          <w:sz w:val="22"/>
          <w:szCs w:val="22"/>
        </w:rPr>
        <w:t xml:space="preserve">  —  Comptel Inc.</w:t>
      </w:r>
    </w:p>
    <w:p>
      <w:pPr>
        <w:spacing w:after="60"/>
      </w:pPr>
      <w:r>
        <w:rPr>
          <w:color w:val="555555"/>
          <w:sz w:val="20"/>
          <w:szCs w:val="20"/>
        </w:rPr>
        <w:t xml:space="preserve">1990</w:t>
      </w:r>
    </w:p>
    <w:p>
      <w:pPr>
        <w:pStyle w:val="ListParagraph"/>
        <w:numPr>
          <w:ilvl w:val="0"/>
          <w:numId w:val="1"/>
        </w:numPr>
        <w:spacing w:after="40"/>
      </w:pPr>
      <w:r>
        <w:rPr>
          <w:sz w:val="21"/>
          <w:szCs w:val="21"/>
        </w:rPr>
        <w:t xml:space="preserve">Founded a networked touchscreen kiosk company, roughly 15 years ahead of the market.</w:t>
      </w:r>
    </w:p>
    <w:p>
      <w:pPr>
        <w:pStyle w:val="ListParagraph"/>
        <w:numPr>
          <w:ilvl w:val="0"/>
          <w:numId w:val="1"/>
        </w:numPr>
        <w:spacing w:after="40"/>
      </w:pPr>
      <w:r>
        <w:rPr>
          <w:sz w:val="21"/>
          <w:szCs w:val="21"/>
        </w:rPr>
        <w:t xml:space="preserve">Developed 40+ archived inventions, including the Cyclone Jukebox.</w:t>
      </w:r>
    </w:p>
    <w:p>
      <w:pPr>
        <w:tabs>
          <w:tab w:val="right" w:pos="9350"/>
        </w:tabs>
        <w:spacing w:after="20" w:before="160"/>
      </w:pPr>
      <w:r>
        <w:rPr>
          <w:b/>
          <w:bCs/>
          <w:sz w:val="22"/>
          <w:szCs w:val="22"/>
        </w:rPr>
        <w:t xml:space="preserve">Partner / Vice President</w:t>
      </w:r>
      <w:r>
        <w:rPr>
          <w:i/>
          <w:iCs/>
          <w:sz w:val="22"/>
          <w:szCs w:val="22"/>
        </w:rPr>
        <w:t xml:space="preserve">  —  Architectural Design Concepts, Atlanta, GA</w:t>
      </w:r>
    </w:p>
    <w:p>
      <w:pPr>
        <w:spacing w:after="60"/>
      </w:pPr>
      <w:r>
        <w:rPr>
          <w:color w:val="555555"/>
          <w:sz w:val="20"/>
          <w:szCs w:val="20"/>
        </w:rPr>
        <w:t xml:space="preserve">1983 – 1990</w:t>
      </w:r>
    </w:p>
    <w:p>
      <w:pPr>
        <w:pStyle w:val="ListParagraph"/>
        <w:numPr>
          <w:ilvl w:val="0"/>
          <w:numId w:val="1"/>
        </w:numPr>
        <w:spacing w:after="40"/>
      </w:pPr>
      <w:r>
        <w:rPr>
          <w:sz w:val="21"/>
          <w:szCs w:val="21"/>
        </w:rPr>
        <w:t xml:space="preserve">Served as Partner and VP for a firm whose clients included AT&amp;T, Hewlett-Packard, FedEx, The Weather Channel, and Woodruff-Brown (Coca-Cola heirs).</w:t>
      </w:r>
    </w:p>
    <w:p>
      <w:pPr>
        <w:tabs>
          <w:tab w:val="right" w:pos="9350"/>
        </w:tabs>
        <w:spacing w:after="20" w:before="160"/>
      </w:pPr>
      <w:r>
        <w:rPr>
          <w:b/>
          <w:bCs/>
          <w:sz w:val="22"/>
          <w:szCs w:val="22"/>
        </w:rPr>
        <w:t xml:space="preserve">Engineering Staff</w:t>
      </w:r>
      <w:r>
        <w:rPr>
          <w:i/>
          <w:iCs/>
          <w:sz w:val="22"/>
          <w:szCs w:val="22"/>
        </w:rPr>
        <w:t xml:space="preserve">  —  Mayes, Sudderth &amp; Etheredge, Inc., Atlanta, GA</w:t>
      </w:r>
    </w:p>
    <w:p>
      <w:pPr>
        <w:spacing w:after="60"/>
      </w:pPr>
      <w:r>
        <w:rPr>
          <w:color w:val="555555"/>
          <w:sz w:val="20"/>
          <w:szCs w:val="20"/>
        </w:rPr>
        <w:t xml:space="preserve">c. 1976</w:t>
      </w:r>
    </w:p>
    <w:p>
      <w:pPr>
        <w:pStyle w:val="ListParagraph"/>
        <w:numPr>
          <w:ilvl w:val="0"/>
          <w:numId w:val="1"/>
        </w:numPr>
        <w:spacing w:after="40"/>
      </w:pPr>
      <w:r>
        <w:rPr>
          <w:sz w:val="21"/>
          <w:szCs w:val="21"/>
        </w:rPr>
        <w:t xml:space="preserve">Consulting civil engineering and architecture firm, founded 1965, serving clients across the Southeast.</w:t>
      </w:r>
    </w:p>
    <w:p>
      <w:pPr>
        <w:tabs>
          <w:tab w:val="right" w:pos="9350"/>
        </w:tabs>
        <w:spacing w:after="20" w:before="160"/>
      </w:pPr>
      <w:r>
        <w:rPr>
          <w:b/>
          <w:bCs/>
          <w:sz w:val="22"/>
          <w:szCs w:val="22"/>
        </w:rPr>
        <w:t xml:space="preserve">Architectural Staff</w:t>
      </w:r>
      <w:r>
        <w:rPr>
          <w:i/>
          <w:iCs/>
          <w:sz w:val="22"/>
          <w:szCs w:val="22"/>
        </w:rPr>
        <w:t xml:space="preserve">  —  Tomberlin Associates, Atlanta, GA</w:t>
      </w:r>
    </w:p>
    <w:p>
      <w:pPr>
        <w:spacing w:after="60"/>
      </w:pPr>
      <w:r>
        <w:rPr>
          <w:color w:val="555555"/>
          <w:sz w:val="20"/>
          <w:szCs w:val="20"/>
        </w:rPr>
        <w:t xml:space="preserve">c. 1973</w:t>
      </w:r>
    </w:p>
    <w:p>
      <w:pPr>
        <w:pStyle w:val="ListParagraph"/>
        <w:numPr>
          <w:ilvl w:val="0"/>
          <w:numId w:val="1"/>
        </w:numPr>
        <w:spacing w:after="40"/>
      </w:pPr>
      <w:r>
        <w:rPr>
          <w:sz w:val="21"/>
          <w:szCs w:val="21"/>
        </w:rPr>
        <w:t xml:space="preserve">Architecture firm (Tomberlin and Sheets) whose work includes Five Points Plaza (40 Marietta Street) in downtown Atlanta.</w:t>
      </w:r>
    </w:p>
    <w:p>
      <w:pPr>
        <w:tabs>
          <w:tab w:val="right" w:pos="9350"/>
        </w:tabs>
        <w:spacing w:after="20" w:before="160"/>
      </w:pPr>
      <w:r>
        <w:rPr>
          <w:b/>
          <w:bCs/>
          <w:sz w:val="22"/>
          <w:szCs w:val="22"/>
        </w:rPr>
        <w:t xml:space="preserve">Production Staff</w:t>
      </w:r>
      <w:r>
        <w:rPr>
          <w:i/>
          <w:iCs/>
          <w:sz w:val="22"/>
          <w:szCs w:val="22"/>
        </w:rPr>
        <w:t xml:space="preserve">  —  Storer Studios, Atlanta, GA</w:t>
      </w:r>
    </w:p>
    <w:p>
      <w:pPr>
        <w:spacing w:after="60"/>
      </w:pPr>
      <w:r>
        <w:rPr>
          <w:color w:val="555555"/>
          <w:sz w:val="20"/>
          <w:szCs w:val="20"/>
        </w:rPr>
        <w:t xml:space="preserve">c. 1974</w:t>
      </w:r>
    </w:p>
    <w:p>
      <w:pPr>
        <w:pStyle w:val="ListParagraph"/>
        <w:numPr>
          <w:ilvl w:val="0"/>
          <w:numId w:val="1"/>
        </w:numPr>
        <w:spacing w:after="40"/>
      </w:pPr>
      <w:r>
        <w:rPr>
          <w:sz w:val="21"/>
          <w:szCs w:val="21"/>
        </w:rPr>
        <w:t xml:space="preserve">Worked on the independent feature film Together for Days (also released as Black Cream), shot entirely on location in Atlanta and notable as the film debut of Samuel L. Jackson.</w:t>
      </w:r>
    </w:p>
    <w:p>
      <w:pPr>
        <w:tabs>
          <w:tab w:val="right" w:pos="9350"/>
        </w:tabs>
        <w:spacing w:after="20" w:before="160"/>
      </w:pPr>
      <w:r>
        <w:rPr>
          <w:b/>
          <w:bCs/>
          <w:sz w:val="22"/>
          <w:szCs w:val="22"/>
        </w:rPr>
        <w:t xml:space="preserve">Design Staff</w:t>
      </w:r>
      <w:r>
        <w:rPr>
          <w:i/>
          <w:iCs/>
          <w:sz w:val="22"/>
          <w:szCs w:val="22"/>
        </w:rPr>
        <w:t xml:space="preserve">  —  Heritage Home Plan Service</w:t>
      </w:r>
    </w:p>
    <w:p>
      <w:pPr>
        <w:spacing w:after="60"/>
      </w:pPr>
      <w:r>
        <w:rPr>
          <w:color w:val="555555"/>
          <w:sz w:val="20"/>
          <w:szCs w:val="20"/>
        </w:rPr>
        <w:t xml:space="preserve">c. 1972</w:t>
      </w:r>
    </w:p>
    <w:p>
      <w:pPr>
        <w:pStyle w:val="ListParagraph"/>
        <w:numPr>
          <w:ilvl w:val="0"/>
          <w:numId w:val="1"/>
        </w:numPr>
        <w:spacing w:after="40"/>
      </w:pPr>
      <w:r>
        <w:rPr>
          <w:sz w:val="21"/>
          <w:szCs w:val="21"/>
        </w:rPr>
        <w:t xml:space="preserve">Early career role in residential home plan design and drafting.</w:t>
      </w:r>
    </w:p>
    <w:p>
      <w:pPr>
        <w:tabs>
          <w:tab w:val="right" w:pos="9350"/>
        </w:tabs>
        <w:spacing w:after="20" w:before="160"/>
      </w:pPr>
      <w:r>
        <w:rPr>
          <w:b/>
          <w:bCs/>
          <w:sz w:val="22"/>
          <w:szCs w:val="22"/>
        </w:rPr>
        <w:t xml:space="preserve">Staff</w:t>
      </w:r>
      <w:r>
        <w:rPr>
          <w:i/>
          <w:iCs/>
          <w:sz w:val="22"/>
          <w:szCs w:val="22"/>
        </w:rPr>
        <w:t xml:space="preserve">  —  Environmental Systems Corporation, Knoxville, TN</w:t>
      </w:r>
    </w:p>
    <w:p>
      <w:pPr>
        <w:spacing w:after="60"/>
      </w:pPr>
      <w:r>
        <w:rPr>
          <w:color w:val="555555"/>
          <w:sz w:val="20"/>
          <w:szCs w:val="20"/>
        </w:rPr>
        <w:t xml:space="preserve">c. 1970</w:t>
      </w:r>
    </w:p>
    <w:p>
      <w:pPr>
        <w:pStyle w:val="ListParagraph"/>
        <w:numPr>
          <w:ilvl w:val="0"/>
          <w:numId w:val="1"/>
        </w:numPr>
        <w:spacing w:after="40"/>
      </w:pPr>
      <w:r>
        <w:rPr>
          <w:sz w:val="21"/>
          <w:szCs w:val="21"/>
        </w:rPr>
        <w:t xml:space="preserve">Early-stage environmental engineering firm founded by researchers from Oak Ridge National Laboratory and University of Tennessee faculty to study thermal discharge from power plants into waterways, headquartered at the Knoxville airport.</w:t>
      </w:r>
    </w:p>
    <w:p>
      <w:pPr>
        <w:pStyle w:val="Heading2"/>
        <w:spacing w:after="120" w:before="300"/>
      </w:pPr>
      <w:r>
        <w:rPr>
          <w:b/>
          <w:bCs/>
          <w:caps/>
          <w:color w:val="1F3864"/>
          <w:sz w:val="24"/>
          <w:szCs w:val="24"/>
        </w:rPr>
        <w:t xml:space="preserve">Historic Preservation</w:t>
      </w:r>
    </w:p>
    <w:p>
      <w:pPr>
        <w:pStyle w:val="ListParagraph"/>
        <w:numPr>
          <w:ilvl w:val="0"/>
          <w:numId w:val="1"/>
        </w:numPr>
        <w:spacing w:after="40"/>
      </w:pPr>
      <w:r>
        <w:rPr>
          <w:sz w:val="21"/>
          <w:szCs w:val="21"/>
        </w:rPr>
        <w:t xml:space="preserve">Thomas Wolfe Cabin Project, Asheville, NC.</w:t>
      </w:r>
    </w:p>
    <w:p>
      <w:pPr>
        <w:pStyle w:val="ListParagraph"/>
        <w:numPr>
          <w:ilvl w:val="0"/>
          <w:numId w:val="1"/>
        </w:numPr>
        <w:spacing w:after="40"/>
      </w:pPr>
      <w:r>
        <w:rPr>
          <w:sz w:val="21"/>
          <w:szCs w:val="21"/>
        </w:rPr>
        <w:t xml:space="preserve">Percy Cottage reconstruction, Rugby, TN.</w:t>
      </w:r>
    </w:p>
    <w:p>
      <w:pPr>
        <w:pStyle w:val="ListParagraph"/>
        <w:numPr>
          <w:ilvl w:val="0"/>
          <w:numId w:val="1"/>
        </w:numPr>
        <w:spacing w:after="40"/>
      </w:pPr>
      <w:r>
        <w:rPr>
          <w:sz w:val="21"/>
          <w:szCs w:val="21"/>
        </w:rPr>
        <w:t xml:space="preserve">HABS (Historic American Buildings Survey) documentation credited in James Patrick's Architecture in Tennessee 1768–1897 (1981).</w:t>
      </w:r>
    </w:p>
    <w:p>
      <w:pPr>
        <w:pStyle w:val="Heading2"/>
        <w:spacing w:after="120" w:before="300"/>
      </w:pPr>
      <w:r>
        <w:rPr>
          <w:b/>
          <w:bCs/>
          <w:caps/>
          <w:color w:val="1F3864"/>
          <w:sz w:val="24"/>
          <w:szCs w:val="24"/>
        </w:rPr>
        <w:t xml:space="preserve">Patents</w:t>
      </w:r>
    </w:p>
    <w:p>
      <w:pPr>
        <w:pStyle w:val="ListParagraph"/>
        <w:numPr>
          <w:ilvl w:val="0"/>
          <w:numId w:val="1"/>
        </w:numPr>
        <w:spacing w:after="40"/>
      </w:pPr>
      <w:r>
        <w:rPr>
          <w:sz w:val="21"/>
          <w:szCs w:val="21"/>
        </w:rPr>
        <w:t xml:space="preserve">Provisional Patent #63/982,508 — Pre-Inference Signal Conditioning Gateway (filed pro se).</w:t>
      </w:r>
    </w:p>
    <w:p>
      <w:pPr>
        <w:pStyle w:val="ListParagraph"/>
        <w:numPr>
          <w:ilvl w:val="0"/>
          <w:numId w:val="1"/>
        </w:numPr>
        <w:spacing w:after="40"/>
      </w:pPr>
      <w:r>
        <w:rPr>
          <w:sz w:val="21"/>
          <w:szCs w:val="21"/>
        </w:rPr>
        <w:t xml:space="preserve">Provisional Patent #64/056,727 — ANA+SCO Forensic Video Authentication System (filed pro se, May 4, 2026).</w:t>
      </w:r>
    </w:p>
    <w:p>
      <w:pPr>
        <w:pStyle w:val="Heading2"/>
        <w:spacing w:after="120" w:before="300"/>
      </w:pPr>
      <w:r>
        <w:rPr>
          <w:b/>
          <w:bCs/>
          <w:caps/>
          <w:color w:val="1F3864"/>
          <w:sz w:val="24"/>
          <w:szCs w:val="24"/>
        </w:rPr>
        <w:t xml:space="preserve">Selected Publications</w:t>
      </w:r>
    </w:p>
    <w:p>
      <w:pPr>
        <w:pStyle w:val="ListParagraph"/>
        <w:numPr>
          <w:ilvl w:val="0"/>
          <w:numId w:val="1"/>
        </w:numPr>
        <w:spacing w:after="40"/>
      </w:pPr>
      <w:r>
        <w:rPr>
          <w:sz w:val="21"/>
          <w:szCs w:val="21"/>
        </w:rPr>
        <w:t xml:space="preserve">J-M Effect White Paper, v4.5 — Zenodo, DOI 10.5281/zenodo.19697860 (published April 22, 2026).</w:t>
      </w:r>
    </w:p>
    <w:p>
      <w:pPr>
        <w:pStyle w:val="Heading2"/>
        <w:spacing w:after="120" w:before="300"/>
      </w:pPr>
      <w:r>
        <w:rPr>
          <w:b/>
          <w:bCs/>
          <w:caps/>
          <w:color w:val="1F3864"/>
          <w:sz w:val="24"/>
          <w:szCs w:val="24"/>
        </w:rPr>
        <w:t xml:space="preserve">Skills &amp; Interests</w:t>
      </w:r>
    </w:p>
    <w:p>
      <w:pPr>
        <w:pStyle w:val="ListParagraph"/>
        <w:numPr>
          <w:ilvl w:val="0"/>
          <w:numId w:val="1"/>
        </w:numPr>
        <w:spacing w:after="40"/>
      </w:pPr>
      <w:r>
        <w:rPr>
          <w:sz w:val="21"/>
          <w:szCs w:val="21"/>
        </w:rPr>
        <w:t xml:space="preserve">Structural engineering, architectural design, stereoscopic imaging &amp; optics, electronics, construction, AI alignment research, forensic video analysis.</w:t>
      </w:r>
    </w:p>
    <w:p>
      <w:pPr>
        <w:pStyle w:val="ListParagraph"/>
        <w:numPr>
          <w:ilvl w:val="0"/>
          <w:numId w:val="1"/>
        </w:numPr>
        <w:spacing w:after="40"/>
      </w:pPr>
      <w:r>
        <w:rPr>
          <w:sz w:val="21"/>
          <w:szCs w:val="21"/>
        </w:rPr>
        <w:t xml:space="preserve">Guitar, oil painting, model aircraft building, historic preservation.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2026-08-05T23:38:22.843Z</dcterms:created>
  <dcterms:modified xsi:type="dcterms:W3CDTF">2026-08-05T23:38:22.856Z</dcterms:modified>
</cp:coreProperties>
</file>

<file path=docProps/custom.xml><?xml version="1.0" encoding="utf-8"?>
<Properties xmlns="http://schemas.openxmlformats.org/officeDocument/2006/custom-properties" xmlns:vt="http://schemas.openxmlformats.org/officeDocument/2006/docPropsVTypes"/>
</file>