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FF22B" w14:textId="396AC0FF" w:rsidR="00591FAE" w:rsidRPr="00113325" w:rsidRDefault="00591FAE">
      <w:pPr>
        <w:rPr>
          <w:rFonts w:ascii="Times" w:hAnsi="Times"/>
        </w:rPr>
      </w:pPr>
      <w:r w:rsidRPr="00113325">
        <w:rPr>
          <w:rFonts w:ascii="Times" w:hAnsi="Times"/>
        </w:rPr>
        <w:t>Figures</w:t>
      </w:r>
    </w:p>
    <w:p w14:paraId="367BAD04" w14:textId="4121669F" w:rsidR="00591FAE" w:rsidRPr="00113325" w:rsidRDefault="00591FAE">
      <w:pPr>
        <w:rPr>
          <w:rFonts w:ascii="Times" w:hAnsi="Times"/>
        </w:rPr>
      </w:pPr>
    </w:p>
    <w:p w14:paraId="7B692AFE" w14:textId="7F392605" w:rsidR="005C559A" w:rsidRPr="00113325" w:rsidRDefault="005C559A">
      <w:pPr>
        <w:rPr>
          <w:rFonts w:ascii="Times" w:hAnsi="Times"/>
        </w:rPr>
      </w:pPr>
      <w:r w:rsidRPr="00113325">
        <w:rPr>
          <w:rFonts w:ascii="Times" w:hAnsi="Times"/>
          <w:noProof/>
        </w:rPr>
        <w:drawing>
          <wp:inline distT="0" distB="0" distL="0" distR="0" wp14:anchorId="4E748F4B" wp14:editId="6F983D24">
            <wp:extent cx="8229600" cy="514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8229600" cy="5146675"/>
                    </a:xfrm>
                    <a:prstGeom prst="rect">
                      <a:avLst/>
                    </a:prstGeom>
                  </pic:spPr>
                </pic:pic>
              </a:graphicData>
            </a:graphic>
          </wp:inline>
        </w:drawing>
      </w:r>
    </w:p>
    <w:p w14:paraId="783B2D4C" w14:textId="3239A7A5" w:rsidR="00C577AB" w:rsidRPr="00113325" w:rsidRDefault="005C559A" w:rsidP="00C577AB">
      <w:pPr>
        <w:rPr>
          <w:rFonts w:ascii="Times" w:hAnsi="Times"/>
        </w:rPr>
      </w:pPr>
      <w:r w:rsidRPr="00113325">
        <w:rPr>
          <w:rFonts w:ascii="Times" w:hAnsi="Times"/>
        </w:rPr>
        <w:t>Figure 1. Cyanobacterial ecotypes, chlorophyll, NOx- and mixed layer depth for the North Atlantic GA03 transect. Only NOx- measurements &lt;0.3</w:t>
      </w:r>
      <w:r w:rsidR="00DF1983">
        <w:rPr>
          <w:rFonts w:ascii="Times New Roman" w:hAnsi="Times New Roman" w:cs="Times New Roman"/>
        </w:rPr>
        <w:t xml:space="preserve"> µ</w:t>
      </w:r>
      <w:r w:rsidRPr="00113325">
        <w:rPr>
          <w:rFonts w:ascii="Times" w:hAnsi="Times"/>
        </w:rPr>
        <w:t xml:space="preserve">M are shown. </w:t>
      </w:r>
      <w:r w:rsidR="00C577AB">
        <w:rPr>
          <w:rFonts w:ascii="Times" w:hAnsi="Times"/>
        </w:rPr>
        <w:t xml:space="preserve">The mixed layer (ML) is indicated by the dotted line. </w:t>
      </w:r>
    </w:p>
    <w:p w14:paraId="7992B95B" w14:textId="1145BAF1" w:rsidR="005C559A" w:rsidRPr="00113325" w:rsidRDefault="005C559A" w:rsidP="005C559A">
      <w:pPr>
        <w:rPr>
          <w:rFonts w:ascii="Times" w:hAnsi="Times"/>
        </w:rPr>
      </w:pPr>
    </w:p>
    <w:p w14:paraId="700D4A96" w14:textId="1304793F" w:rsidR="005C559A" w:rsidRPr="00113325" w:rsidRDefault="00377F6E">
      <w:pPr>
        <w:rPr>
          <w:rFonts w:ascii="Times" w:hAnsi="Times"/>
        </w:rPr>
      </w:pPr>
      <w:r w:rsidRPr="00113325">
        <w:rPr>
          <w:rFonts w:ascii="Times" w:hAnsi="Times"/>
          <w:noProof/>
        </w:rPr>
        <w:drawing>
          <wp:inline distT="0" distB="0" distL="0" distR="0" wp14:anchorId="2DAC2581" wp14:editId="084C2345">
            <wp:extent cx="8229600" cy="5567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8229600" cy="5567680"/>
                    </a:xfrm>
                    <a:prstGeom prst="rect">
                      <a:avLst/>
                    </a:prstGeom>
                  </pic:spPr>
                </pic:pic>
              </a:graphicData>
            </a:graphic>
          </wp:inline>
        </w:drawing>
      </w:r>
    </w:p>
    <w:p w14:paraId="4706258F" w14:textId="2FDF0528" w:rsidR="00C577AB" w:rsidRPr="00113325" w:rsidRDefault="0058003D" w:rsidP="00C577AB">
      <w:pPr>
        <w:rPr>
          <w:rFonts w:ascii="Times" w:hAnsi="Times"/>
        </w:rPr>
      </w:pPr>
      <w:r w:rsidRPr="00C577AB">
        <w:rPr>
          <w:rFonts w:ascii="Times" w:hAnsi="Times"/>
          <w:b/>
          <w:bCs/>
        </w:rPr>
        <w:lastRenderedPageBreak/>
        <w:t>Figure 2.</w:t>
      </w:r>
      <w:r w:rsidRPr="00113325">
        <w:rPr>
          <w:rFonts w:ascii="Times" w:hAnsi="Times"/>
        </w:rPr>
        <w:t xml:space="preserve"> Example datasets from GA03 transect section 1 (top) and section 2 across the subtropical gyre (bottom)</w:t>
      </w:r>
      <w:r w:rsidR="00AF484C" w:rsidRPr="00113325">
        <w:rPr>
          <w:rFonts w:ascii="Times" w:hAnsi="Times"/>
        </w:rPr>
        <w:t xml:space="preserve">. </w:t>
      </w:r>
      <w:r w:rsidR="00DF1983">
        <w:rPr>
          <w:rFonts w:ascii="Times" w:hAnsi="Times"/>
        </w:rPr>
        <w:t xml:space="preserve">A&amp;F) Cyanophage/cyanobacteria ratios, the % of </w:t>
      </w:r>
      <w:r w:rsidR="00DF1983" w:rsidRPr="00C577AB">
        <w:rPr>
          <w:rFonts w:ascii="Times" w:hAnsi="Times"/>
          <w:i/>
          <w:iCs/>
        </w:rPr>
        <w:t>Prochlorococcus</w:t>
      </w:r>
      <w:r w:rsidR="00DF1983">
        <w:rPr>
          <w:rFonts w:ascii="Times" w:hAnsi="Times"/>
        </w:rPr>
        <w:t xml:space="preserve"> with nitrite assimilation gene </w:t>
      </w:r>
      <w:proofErr w:type="spellStart"/>
      <w:r w:rsidR="00DF1983" w:rsidRPr="00C577AB">
        <w:rPr>
          <w:rFonts w:ascii="Times" w:hAnsi="Times"/>
          <w:i/>
          <w:iCs/>
        </w:rPr>
        <w:t>nirA</w:t>
      </w:r>
      <w:proofErr w:type="spellEnd"/>
      <w:r w:rsidR="00DF1983">
        <w:rPr>
          <w:rFonts w:ascii="Times" w:hAnsi="Times"/>
        </w:rPr>
        <w:t>, and chlorophyll. B&amp;G) Cyanobacterial ecotype</w:t>
      </w:r>
      <w:r w:rsidR="00C577AB">
        <w:rPr>
          <w:rFonts w:ascii="Times" w:hAnsi="Times"/>
        </w:rPr>
        <w:t xml:space="preserve"> normalized read</w:t>
      </w:r>
      <w:r w:rsidR="00DF1983">
        <w:rPr>
          <w:rFonts w:ascii="Times" w:hAnsi="Times"/>
        </w:rPr>
        <w:t>s (ITS region) and percent of prokaryote community (</w:t>
      </w:r>
      <w:r w:rsidR="00DF1983" w:rsidRPr="00C577AB">
        <w:rPr>
          <w:rFonts w:ascii="Times" w:hAnsi="Times"/>
          <w:i/>
          <w:iCs/>
        </w:rPr>
        <w:t>rpoB</w:t>
      </w:r>
      <w:r w:rsidR="00C577AB">
        <w:rPr>
          <w:rFonts w:ascii="Times" w:hAnsi="Times"/>
        </w:rPr>
        <w:t>; dashed bold line</w:t>
      </w:r>
      <w:r w:rsidR="00DF1983">
        <w:rPr>
          <w:rFonts w:ascii="Times" w:hAnsi="Times"/>
        </w:rPr>
        <w:t>). Ecotypes are designated by gray crosses (HLI), blue squares (HLII), green triangles (LLI), purple diamonds (LLII), red circles (NC1), light blue filled circles (LLIV) and orange x (</w:t>
      </w:r>
      <w:proofErr w:type="spellStart"/>
      <w:r w:rsidR="00DF1983" w:rsidRPr="00780BA0">
        <w:rPr>
          <w:rFonts w:ascii="Times" w:hAnsi="Times"/>
          <w:i/>
          <w:iCs/>
        </w:rPr>
        <w:t>Synechococcus</w:t>
      </w:r>
      <w:proofErr w:type="spellEnd"/>
      <w:r w:rsidR="00DF1983">
        <w:rPr>
          <w:rFonts w:ascii="Times" w:hAnsi="Times"/>
        </w:rPr>
        <w:t xml:space="preserve">). </w:t>
      </w:r>
      <w:r w:rsidR="00DF1983" w:rsidRPr="00113325">
        <w:rPr>
          <w:rFonts w:ascii="Times" w:hAnsi="Times"/>
        </w:rPr>
        <w:t>Insert: Cyanobacterial ecotypes as % of Picocyanobacteria.</w:t>
      </w:r>
      <w:r w:rsidR="00DF1983">
        <w:rPr>
          <w:rFonts w:ascii="Times" w:hAnsi="Times"/>
        </w:rPr>
        <w:t xml:space="preserve"> Colors match the symbols. C&amp;H) Cyanophage abundance as determined by </w:t>
      </w:r>
      <w:r w:rsidR="00DF1983" w:rsidRPr="00C577AB">
        <w:rPr>
          <w:rFonts w:ascii="Times" w:hAnsi="Times"/>
          <w:i/>
          <w:iCs/>
        </w:rPr>
        <w:t>terL</w:t>
      </w:r>
      <w:r w:rsidR="00DF1983">
        <w:rPr>
          <w:rFonts w:ascii="Times" w:hAnsi="Times"/>
        </w:rPr>
        <w:t xml:space="preserve"> normalized reads. D&amp;I) The proportion of cyanophage with a host gene that increase with depth. E&amp;J) The proportion of cyanophage with a host gene that decrease with depth (at least sometimes).</w:t>
      </w:r>
      <w:r w:rsidR="00C577AB">
        <w:rPr>
          <w:rFonts w:ascii="Times" w:hAnsi="Times"/>
        </w:rPr>
        <w:t xml:space="preserve"> The mixed layer (ML) is indicated by the dotted line. </w:t>
      </w:r>
    </w:p>
    <w:p w14:paraId="203A91A3" w14:textId="51DBCC58" w:rsidR="00780BA0" w:rsidRDefault="00780BA0">
      <w:pPr>
        <w:rPr>
          <w:rFonts w:ascii="Times" w:hAnsi="Times"/>
        </w:rPr>
      </w:pPr>
      <w:r>
        <w:rPr>
          <w:rFonts w:ascii="Times" w:hAnsi="Times"/>
        </w:rPr>
        <w:br w:type="page"/>
      </w:r>
    </w:p>
    <w:p w14:paraId="2C8BF479" w14:textId="31965988" w:rsidR="0058003D" w:rsidRPr="00113325" w:rsidRDefault="00AF484C">
      <w:pPr>
        <w:rPr>
          <w:rFonts w:ascii="Times" w:hAnsi="Times"/>
        </w:rPr>
      </w:pPr>
      <w:r w:rsidRPr="00113325">
        <w:rPr>
          <w:rFonts w:ascii="Times" w:hAnsi="Times"/>
          <w:noProof/>
        </w:rPr>
        <w:lastRenderedPageBreak/>
        <w:drawing>
          <wp:inline distT="0" distB="0" distL="0" distR="0" wp14:anchorId="6FF5762B" wp14:editId="3ADFFE03">
            <wp:extent cx="8229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8229600" cy="2618105"/>
                    </a:xfrm>
                    <a:prstGeom prst="rect">
                      <a:avLst/>
                    </a:prstGeom>
                  </pic:spPr>
                </pic:pic>
              </a:graphicData>
            </a:graphic>
          </wp:inline>
        </w:drawing>
      </w:r>
    </w:p>
    <w:p w14:paraId="06BE79D0" w14:textId="13962566" w:rsidR="00780BA0" w:rsidRDefault="00C95670">
      <w:pPr>
        <w:rPr>
          <w:rFonts w:ascii="Times" w:hAnsi="Times"/>
        </w:rPr>
      </w:pPr>
      <w:r>
        <w:rPr>
          <w:rFonts w:ascii="Times" w:hAnsi="Times"/>
          <w:noProof/>
        </w:rPr>
        <w:drawing>
          <wp:inline distT="0" distB="0" distL="0" distR="0" wp14:anchorId="022584C3" wp14:editId="43FBD51E">
            <wp:extent cx="8229600" cy="246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8229600" cy="2464435"/>
                    </a:xfrm>
                    <a:prstGeom prst="rect">
                      <a:avLst/>
                    </a:prstGeom>
                  </pic:spPr>
                </pic:pic>
              </a:graphicData>
            </a:graphic>
          </wp:inline>
        </w:drawing>
      </w:r>
    </w:p>
    <w:p w14:paraId="16209E94" w14:textId="5C6A0C6E" w:rsidR="00780BA0" w:rsidRPr="00113325" w:rsidRDefault="0058003D" w:rsidP="00780BA0">
      <w:pPr>
        <w:rPr>
          <w:rFonts w:ascii="Times" w:hAnsi="Times"/>
        </w:rPr>
      </w:pPr>
      <w:r w:rsidRPr="00113325">
        <w:rPr>
          <w:rFonts w:ascii="Times" w:hAnsi="Times"/>
        </w:rPr>
        <w:t>Figure 3. Example dataset from HOT</w:t>
      </w:r>
      <w:r w:rsidR="00780BA0">
        <w:rPr>
          <w:rFonts w:ascii="Times" w:hAnsi="Times"/>
        </w:rPr>
        <w:t xml:space="preserve"> (top</w:t>
      </w:r>
      <w:r w:rsidR="00774C09">
        <w:rPr>
          <w:rFonts w:ascii="Times" w:hAnsi="Times"/>
        </w:rPr>
        <w:t xml:space="preserve"> row</w:t>
      </w:r>
      <w:r w:rsidR="00780BA0">
        <w:rPr>
          <w:rFonts w:ascii="Times" w:hAnsi="Times"/>
        </w:rPr>
        <w:t xml:space="preserve">) and </w:t>
      </w:r>
      <w:r w:rsidR="00DF1983">
        <w:rPr>
          <w:rFonts w:ascii="Times" w:hAnsi="Times"/>
        </w:rPr>
        <w:t xml:space="preserve">the </w:t>
      </w:r>
      <w:r w:rsidR="00780BA0">
        <w:rPr>
          <w:rFonts w:ascii="Times" w:hAnsi="Times"/>
        </w:rPr>
        <w:t>South Pacific (GP13) (bottom row)</w:t>
      </w:r>
      <w:r w:rsidRPr="00113325">
        <w:rPr>
          <w:rFonts w:ascii="Times" w:hAnsi="Times"/>
        </w:rPr>
        <w:t>.</w:t>
      </w:r>
      <w:r w:rsidR="00780BA0">
        <w:rPr>
          <w:rFonts w:ascii="Times" w:hAnsi="Times"/>
        </w:rPr>
        <w:t xml:space="preserve"> </w:t>
      </w:r>
      <w:r w:rsidR="00DF1983">
        <w:rPr>
          <w:rFonts w:ascii="Times" w:hAnsi="Times"/>
        </w:rPr>
        <w:t xml:space="preserve">A&amp;F) Cyanophage/cyanobacteria ratios, the % of </w:t>
      </w:r>
      <w:r w:rsidR="00DF1983" w:rsidRPr="00EB66E8">
        <w:rPr>
          <w:rFonts w:ascii="Times" w:hAnsi="Times"/>
          <w:i/>
          <w:iCs/>
        </w:rPr>
        <w:t>Prochlorococcus</w:t>
      </w:r>
      <w:r w:rsidR="00DF1983">
        <w:rPr>
          <w:rFonts w:ascii="Times" w:hAnsi="Times"/>
        </w:rPr>
        <w:t xml:space="preserve"> with nitrite assimilation gene </w:t>
      </w:r>
      <w:proofErr w:type="spellStart"/>
      <w:r w:rsidR="00DF1983" w:rsidRPr="00C577AB">
        <w:rPr>
          <w:rFonts w:ascii="Times" w:hAnsi="Times"/>
          <w:i/>
          <w:iCs/>
        </w:rPr>
        <w:t>nirA</w:t>
      </w:r>
      <w:proofErr w:type="spellEnd"/>
      <w:r w:rsidR="00DF1983">
        <w:rPr>
          <w:rFonts w:ascii="Times" w:hAnsi="Times"/>
        </w:rPr>
        <w:t>, NOx- concentrations, and chlorophyll (if measured). B&amp;G) Cyanobacterial ecotype</w:t>
      </w:r>
      <w:r w:rsidR="00C577AB">
        <w:rPr>
          <w:rFonts w:ascii="Times" w:hAnsi="Times"/>
        </w:rPr>
        <w:t xml:space="preserve"> normalized read</w:t>
      </w:r>
      <w:r w:rsidR="00DF1983">
        <w:rPr>
          <w:rFonts w:ascii="Times" w:hAnsi="Times"/>
        </w:rPr>
        <w:t>s (ITS region) and percent of prokaryote community (</w:t>
      </w:r>
      <w:r w:rsidR="00DF1983" w:rsidRPr="00C577AB">
        <w:rPr>
          <w:rFonts w:ascii="Times" w:hAnsi="Times"/>
          <w:i/>
          <w:iCs/>
        </w:rPr>
        <w:t>rpoB</w:t>
      </w:r>
      <w:r w:rsidR="00C577AB">
        <w:rPr>
          <w:rFonts w:ascii="Times" w:hAnsi="Times"/>
        </w:rPr>
        <w:t>; dashed bold line)</w:t>
      </w:r>
      <w:r w:rsidR="00DF1983">
        <w:rPr>
          <w:rFonts w:ascii="Times" w:hAnsi="Times"/>
        </w:rPr>
        <w:t xml:space="preserve">. </w:t>
      </w:r>
      <w:r w:rsidR="00780BA0">
        <w:rPr>
          <w:rFonts w:ascii="Times" w:hAnsi="Times"/>
        </w:rPr>
        <w:t xml:space="preserve">Ecotypes are designated by gray crosses (HLI), blue squares (HLII), green triangles (LLI), purple diamonds (LLII), red circles (NC1), light blue </w:t>
      </w:r>
      <w:r w:rsidR="00780BA0">
        <w:rPr>
          <w:rFonts w:ascii="Times" w:hAnsi="Times"/>
        </w:rPr>
        <w:lastRenderedPageBreak/>
        <w:t>filled circles (LLIV) and orange x (</w:t>
      </w:r>
      <w:proofErr w:type="spellStart"/>
      <w:r w:rsidR="00780BA0" w:rsidRPr="00780BA0">
        <w:rPr>
          <w:rFonts w:ascii="Times" w:hAnsi="Times"/>
          <w:i/>
          <w:iCs/>
        </w:rPr>
        <w:t>Synechococcus</w:t>
      </w:r>
      <w:proofErr w:type="spellEnd"/>
      <w:r w:rsidR="00780BA0">
        <w:rPr>
          <w:rFonts w:ascii="Times" w:hAnsi="Times"/>
        </w:rPr>
        <w:t xml:space="preserve">). </w:t>
      </w:r>
      <w:r w:rsidR="00780BA0" w:rsidRPr="00113325">
        <w:rPr>
          <w:rFonts w:ascii="Times" w:hAnsi="Times"/>
        </w:rPr>
        <w:t>Insert: Cyanobacterial ecotypes as % of Picocyanobacteria.</w:t>
      </w:r>
      <w:r w:rsidR="00780BA0">
        <w:rPr>
          <w:rFonts w:ascii="Times" w:hAnsi="Times"/>
        </w:rPr>
        <w:t xml:space="preserve"> Colors match the symbols. </w:t>
      </w:r>
      <w:r w:rsidR="00DF1983">
        <w:rPr>
          <w:rFonts w:ascii="Times" w:hAnsi="Times"/>
        </w:rPr>
        <w:t xml:space="preserve">C&amp;H) Cyanophage abundance as determined by </w:t>
      </w:r>
      <w:r w:rsidR="00DF1983" w:rsidRPr="00C577AB">
        <w:rPr>
          <w:rFonts w:ascii="Times" w:hAnsi="Times"/>
          <w:i/>
          <w:iCs/>
        </w:rPr>
        <w:t>terL</w:t>
      </w:r>
      <w:r w:rsidR="00DF1983">
        <w:rPr>
          <w:rFonts w:ascii="Times" w:hAnsi="Times"/>
        </w:rPr>
        <w:t xml:space="preserve"> normalized reads. D&amp;I) The proportion of cyanophage with a host gene that increase with depth. E&amp;J) The proportion of cyanophage with a host gene that decrease with depth (at least sometimes).</w:t>
      </w:r>
      <w:r w:rsidR="00C577AB">
        <w:rPr>
          <w:rFonts w:ascii="Times" w:hAnsi="Times"/>
        </w:rPr>
        <w:t xml:space="preserve"> The mixed layer (ML) is indicated by the dotted line. </w:t>
      </w:r>
    </w:p>
    <w:p w14:paraId="670E6E48" w14:textId="7C705DF1" w:rsidR="0058003D" w:rsidRPr="00113325" w:rsidRDefault="0058003D">
      <w:pPr>
        <w:rPr>
          <w:rFonts w:ascii="Times" w:hAnsi="Times"/>
        </w:rPr>
      </w:pPr>
    </w:p>
    <w:p w14:paraId="34191FBB" w14:textId="3CF0F577" w:rsidR="006C59C1" w:rsidRPr="00113325" w:rsidRDefault="00523068">
      <w:pPr>
        <w:rPr>
          <w:rFonts w:ascii="Times" w:hAnsi="Times"/>
        </w:rPr>
      </w:pPr>
      <w:r>
        <w:rPr>
          <w:rFonts w:ascii="Times" w:hAnsi="Times"/>
          <w:noProof/>
        </w:rPr>
        <w:lastRenderedPageBreak/>
        <w:drawing>
          <wp:inline distT="0" distB="0" distL="0" distR="0" wp14:anchorId="0305BB6D" wp14:editId="387A7E9F">
            <wp:extent cx="8229600" cy="5577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8229600" cy="5577205"/>
                    </a:xfrm>
                    <a:prstGeom prst="rect">
                      <a:avLst/>
                    </a:prstGeom>
                  </pic:spPr>
                </pic:pic>
              </a:graphicData>
            </a:graphic>
          </wp:inline>
        </w:drawing>
      </w:r>
    </w:p>
    <w:p w14:paraId="0D297CB3" w14:textId="634391E9" w:rsidR="009658B8" w:rsidRDefault="006C59C1">
      <w:pPr>
        <w:rPr>
          <w:rFonts w:ascii="Times" w:hAnsi="Times"/>
        </w:rPr>
      </w:pPr>
      <w:r w:rsidRPr="00113325">
        <w:rPr>
          <w:rFonts w:ascii="Times" w:hAnsi="Times"/>
        </w:rPr>
        <w:t xml:space="preserve">Figure 4. </w:t>
      </w:r>
      <w:r w:rsidR="004821F0" w:rsidRPr="00113325">
        <w:rPr>
          <w:rFonts w:ascii="Times" w:hAnsi="Times"/>
        </w:rPr>
        <w:t xml:space="preserve">Example dataset from </w:t>
      </w:r>
      <w:r w:rsidR="004821F0">
        <w:rPr>
          <w:rFonts w:ascii="Times" w:hAnsi="Times"/>
        </w:rPr>
        <w:t>ETNP ODZ (top</w:t>
      </w:r>
      <w:r w:rsidR="00774C09">
        <w:rPr>
          <w:rFonts w:ascii="Times" w:hAnsi="Times"/>
        </w:rPr>
        <w:t xml:space="preserve"> row</w:t>
      </w:r>
      <w:r w:rsidR="004821F0">
        <w:rPr>
          <w:rFonts w:ascii="Times" w:hAnsi="Times"/>
        </w:rPr>
        <w:t>) and the ETSP ODZ (bottom row)</w:t>
      </w:r>
      <w:r w:rsidR="004821F0" w:rsidRPr="00113325">
        <w:rPr>
          <w:rFonts w:ascii="Times" w:hAnsi="Times"/>
        </w:rPr>
        <w:t>.</w:t>
      </w:r>
      <w:r w:rsidR="004821F0">
        <w:rPr>
          <w:rFonts w:ascii="Times" w:hAnsi="Times"/>
        </w:rPr>
        <w:t xml:space="preserve"> A&amp;F) Cyanophage/cyanobacteria ratios, the % of </w:t>
      </w:r>
      <w:r w:rsidR="004821F0" w:rsidRPr="00EB66E8">
        <w:rPr>
          <w:rFonts w:ascii="Times" w:hAnsi="Times"/>
          <w:i/>
          <w:iCs/>
        </w:rPr>
        <w:t>Prochlorococcus</w:t>
      </w:r>
      <w:r w:rsidR="004821F0">
        <w:rPr>
          <w:rFonts w:ascii="Times" w:hAnsi="Times"/>
        </w:rPr>
        <w:t xml:space="preserve"> with nitrite assimilation gene </w:t>
      </w:r>
      <w:proofErr w:type="spellStart"/>
      <w:r w:rsidR="004821F0" w:rsidRPr="00C577AB">
        <w:rPr>
          <w:rFonts w:ascii="Times" w:hAnsi="Times"/>
          <w:i/>
          <w:iCs/>
        </w:rPr>
        <w:t>nirA</w:t>
      </w:r>
      <w:proofErr w:type="spellEnd"/>
      <w:r w:rsidR="004821F0">
        <w:rPr>
          <w:rFonts w:ascii="Times" w:hAnsi="Times"/>
        </w:rPr>
        <w:t>, NO</w:t>
      </w:r>
      <w:r w:rsidR="00DE24B0" w:rsidRPr="00DE24B0">
        <w:rPr>
          <w:rFonts w:ascii="Times" w:hAnsi="Times"/>
          <w:vertAlign w:val="subscript"/>
        </w:rPr>
        <w:t>2</w:t>
      </w:r>
      <w:r w:rsidR="004821F0" w:rsidRPr="00DE24B0">
        <w:rPr>
          <w:rFonts w:ascii="Times" w:hAnsi="Times"/>
          <w:vertAlign w:val="superscript"/>
        </w:rPr>
        <w:t>-</w:t>
      </w:r>
      <w:r w:rsidR="004821F0">
        <w:rPr>
          <w:rFonts w:ascii="Times" w:hAnsi="Times"/>
        </w:rPr>
        <w:t xml:space="preserve"> concentrations</w:t>
      </w:r>
      <w:r w:rsidR="00EB66E8">
        <w:rPr>
          <w:rFonts w:ascii="Times" w:hAnsi="Times"/>
        </w:rPr>
        <w:t xml:space="preserve"> (ETNP)</w:t>
      </w:r>
      <w:r w:rsidR="004821F0">
        <w:rPr>
          <w:rFonts w:ascii="Times" w:hAnsi="Times"/>
        </w:rPr>
        <w:t xml:space="preserve">, and chlorophyll. B&amp;G) Cyanobacterial </w:t>
      </w:r>
      <w:r w:rsidR="004821F0">
        <w:rPr>
          <w:rFonts w:ascii="Times" w:hAnsi="Times"/>
        </w:rPr>
        <w:lastRenderedPageBreak/>
        <w:t>ecotype normalized reads (ITS region) and percent of prokaryote community (</w:t>
      </w:r>
      <w:r w:rsidR="004821F0" w:rsidRPr="00C577AB">
        <w:rPr>
          <w:rFonts w:ascii="Times" w:hAnsi="Times"/>
          <w:i/>
          <w:iCs/>
        </w:rPr>
        <w:t>rpoB</w:t>
      </w:r>
      <w:r w:rsidR="004821F0">
        <w:rPr>
          <w:rFonts w:ascii="Times" w:hAnsi="Times"/>
        </w:rPr>
        <w:t>; dashed bold line)</w:t>
      </w:r>
      <w:r w:rsidR="00EB66E8" w:rsidRPr="00EB66E8">
        <w:rPr>
          <w:rFonts w:ascii="Times" w:hAnsi="Times"/>
        </w:rPr>
        <w:t xml:space="preserve"> </w:t>
      </w:r>
      <w:r w:rsidR="00EB66E8">
        <w:rPr>
          <w:rFonts w:ascii="Times" w:hAnsi="Times"/>
        </w:rPr>
        <w:t>and NO</w:t>
      </w:r>
      <w:r w:rsidR="00DE24B0" w:rsidRPr="00DE24B0">
        <w:rPr>
          <w:rFonts w:ascii="Times" w:hAnsi="Times"/>
          <w:vertAlign w:val="subscript"/>
        </w:rPr>
        <w:t>2</w:t>
      </w:r>
      <w:r w:rsidR="00EB66E8" w:rsidRPr="00DE24B0">
        <w:rPr>
          <w:rFonts w:ascii="Times" w:hAnsi="Times"/>
          <w:vertAlign w:val="superscript"/>
        </w:rPr>
        <w:t>-</w:t>
      </w:r>
      <w:r w:rsidR="00EB66E8">
        <w:rPr>
          <w:rFonts w:ascii="Times" w:hAnsi="Times"/>
        </w:rPr>
        <w:t xml:space="preserve"> concentrations (ETSP)</w:t>
      </w:r>
      <w:r w:rsidR="004821F0">
        <w:rPr>
          <w:rFonts w:ascii="Times" w:hAnsi="Times"/>
        </w:rPr>
        <w:t xml:space="preserve">. </w:t>
      </w:r>
      <w:r w:rsidR="004821F0" w:rsidRPr="00113325">
        <w:rPr>
          <w:rFonts w:ascii="Times" w:hAnsi="Times"/>
        </w:rPr>
        <w:t>Insert: Cyanobacterial ecotypes as % of Picocyanobacteria.</w:t>
      </w:r>
      <w:r w:rsidR="004821F0">
        <w:rPr>
          <w:rFonts w:ascii="Times" w:hAnsi="Times"/>
        </w:rPr>
        <w:t xml:space="preserve"> Colors match the symbols. C&amp;H) Cyanophage abundance as determined by </w:t>
      </w:r>
      <w:r w:rsidR="004821F0" w:rsidRPr="00C577AB">
        <w:rPr>
          <w:rFonts w:ascii="Times" w:hAnsi="Times"/>
          <w:i/>
          <w:iCs/>
        </w:rPr>
        <w:t>terL</w:t>
      </w:r>
      <w:r w:rsidR="004821F0">
        <w:rPr>
          <w:rFonts w:ascii="Times" w:hAnsi="Times"/>
        </w:rPr>
        <w:t xml:space="preserve"> normalized reads. D&amp;I) The proportion of cyanophage with a host gene that increase with depth</w:t>
      </w:r>
      <w:r w:rsidR="00EB66E8">
        <w:rPr>
          <w:rFonts w:ascii="Times" w:hAnsi="Times"/>
        </w:rPr>
        <w:t xml:space="preserve"> (at least sometimes)</w:t>
      </w:r>
      <w:r w:rsidR="004821F0">
        <w:rPr>
          <w:rFonts w:ascii="Times" w:hAnsi="Times"/>
        </w:rPr>
        <w:t xml:space="preserve">. E&amp;J) The proportion of cyanophage with a host gene that decrease with depth (at least sometimes). The mixed layer (ML) is indicated by the dotted line. </w:t>
      </w:r>
      <w:r w:rsidR="00EB66E8">
        <w:rPr>
          <w:rFonts w:ascii="Times" w:hAnsi="Times"/>
        </w:rPr>
        <w:t xml:space="preserve">The top of the ODZ is the dashed line. </w:t>
      </w:r>
    </w:p>
    <w:p w14:paraId="32418830" w14:textId="17126C89" w:rsidR="002E6E9E" w:rsidRDefault="002E6E9E">
      <w:pPr>
        <w:rPr>
          <w:rFonts w:ascii="Times" w:hAnsi="Times"/>
        </w:rPr>
      </w:pPr>
      <w:r>
        <w:rPr>
          <w:rFonts w:ascii="Times" w:hAnsi="Times"/>
        </w:rPr>
        <w:br w:type="page"/>
      </w:r>
    </w:p>
    <w:p w14:paraId="38DA881B" w14:textId="77777777" w:rsidR="002E6E9E" w:rsidRDefault="002E6E9E">
      <w:pPr>
        <w:rPr>
          <w:rFonts w:ascii="Times" w:hAnsi="Times"/>
        </w:rPr>
      </w:pPr>
    </w:p>
    <w:p w14:paraId="58A91CB8" w14:textId="77777777" w:rsidR="002E6E9E" w:rsidRPr="00113325" w:rsidRDefault="002E6E9E" w:rsidP="002E6E9E">
      <w:pPr>
        <w:rPr>
          <w:rFonts w:ascii="Times" w:hAnsi="Times"/>
        </w:rPr>
      </w:pPr>
      <w:r w:rsidRPr="00113325">
        <w:rPr>
          <w:rFonts w:ascii="Times" w:hAnsi="Times"/>
          <w:noProof/>
        </w:rPr>
        <w:drawing>
          <wp:inline distT="0" distB="0" distL="0" distR="0" wp14:anchorId="5622C2C9" wp14:editId="0E9773D6">
            <wp:extent cx="4572000" cy="4458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l="30710" t="9838" r="25772" b="15004"/>
                    <a:stretch/>
                  </pic:blipFill>
                  <pic:spPr bwMode="auto">
                    <a:xfrm>
                      <a:off x="0" y="0"/>
                      <a:ext cx="4572000" cy="4458511"/>
                    </a:xfrm>
                    <a:prstGeom prst="rect">
                      <a:avLst/>
                    </a:prstGeom>
                    <a:ln>
                      <a:noFill/>
                    </a:ln>
                    <a:extLst>
                      <a:ext uri="{53640926-AAD7-44D8-BBD7-CCE9431645EC}">
                        <a14:shadowObscured xmlns:a14="http://schemas.microsoft.com/office/drawing/2010/main"/>
                      </a:ext>
                    </a:extLst>
                  </pic:spPr>
                </pic:pic>
              </a:graphicData>
            </a:graphic>
          </wp:inline>
        </w:drawing>
      </w:r>
    </w:p>
    <w:p w14:paraId="508C8FE3" w14:textId="32A44076" w:rsidR="009658B8" w:rsidRPr="002E6E9E" w:rsidRDefault="002E6E9E" w:rsidP="002E6E9E">
      <w:pPr>
        <w:pStyle w:val="NormalWeb"/>
        <w:shd w:val="clear" w:color="auto" w:fill="FFFFFF"/>
        <w:spacing w:after="0" w:afterAutospacing="0" w:line="195" w:lineRule="atLeast"/>
        <w:rPr>
          <w:rFonts w:ascii="Times" w:hAnsi="Times" w:cs="Arial"/>
          <w:color w:val="222222"/>
        </w:rPr>
      </w:pPr>
      <w:r w:rsidRPr="00113325">
        <w:rPr>
          <w:rFonts w:ascii="Times" w:hAnsi="Times"/>
        </w:rPr>
        <w:t xml:space="preserve">Figure </w:t>
      </w:r>
      <w:r>
        <w:rPr>
          <w:rFonts w:ascii="Times" w:hAnsi="Times"/>
        </w:rPr>
        <w:t>5</w:t>
      </w:r>
      <w:r w:rsidRPr="00113325">
        <w:rPr>
          <w:rFonts w:ascii="Times" w:hAnsi="Times"/>
        </w:rPr>
        <w:t xml:space="preserve">. </w:t>
      </w:r>
      <w:r w:rsidRPr="00113325">
        <w:rPr>
          <w:rFonts w:ascii="Times" w:hAnsi="Times" w:cs="Arial"/>
          <w:color w:val="222222"/>
        </w:rPr>
        <w:t xml:space="preserve">A </w:t>
      </w:r>
      <w:proofErr w:type="gramStart"/>
      <w:r w:rsidRPr="00113325">
        <w:rPr>
          <w:rFonts w:ascii="Times" w:hAnsi="Times" w:cs="Arial"/>
          <w:color w:val="222222"/>
        </w:rPr>
        <w:t>lasso based</w:t>
      </w:r>
      <w:proofErr w:type="gramEnd"/>
      <w:r w:rsidRPr="00113325">
        <w:rPr>
          <w:rFonts w:ascii="Times" w:hAnsi="Times" w:cs="Arial"/>
          <w:color w:val="222222"/>
        </w:rPr>
        <w:t xml:space="preserve"> association network between different cyanobacterial ecotypes and viral genes. Nodes indicate viral gene abundances (white squares), and cyanobacterial host abundances (green circles). Edges connect viral and cyanobacterial nodes that are statistically associated. Relative edge thickness relates to the relative coefficients of the lasso regressions, with thicker edges associating with stronger statistical associations. Environmental and location data were used to generate this network in order to factor out those variables, but those nodes and their associated edges are not shown to reduce complexity and to focus on the virus to host associations.</w:t>
      </w:r>
    </w:p>
    <w:p w14:paraId="279A7123" w14:textId="15FACBFF" w:rsidR="009658B8" w:rsidRDefault="009658B8">
      <w:pPr>
        <w:rPr>
          <w:rFonts w:ascii="Times" w:hAnsi="Times"/>
        </w:rPr>
      </w:pPr>
      <w:r>
        <w:rPr>
          <w:rFonts w:ascii="Times" w:hAnsi="Times"/>
          <w:noProof/>
        </w:rPr>
        <w:lastRenderedPageBreak/>
        <w:drawing>
          <wp:inline distT="0" distB="0" distL="0" distR="0" wp14:anchorId="5170A4D7" wp14:editId="7468559B">
            <wp:extent cx="6948805"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948805" cy="5943600"/>
                    </a:xfrm>
                    <a:prstGeom prst="rect">
                      <a:avLst/>
                    </a:prstGeom>
                  </pic:spPr>
                </pic:pic>
              </a:graphicData>
            </a:graphic>
          </wp:inline>
        </w:drawing>
      </w:r>
    </w:p>
    <w:p w14:paraId="028DB560" w14:textId="429A4574" w:rsidR="00DF1983" w:rsidRDefault="009658B8">
      <w:pPr>
        <w:rPr>
          <w:rFonts w:ascii="Times" w:hAnsi="Times"/>
        </w:rPr>
      </w:pPr>
      <w:r>
        <w:rPr>
          <w:rFonts w:ascii="Times" w:hAnsi="Times"/>
        </w:rPr>
        <w:lastRenderedPageBreak/>
        <w:t xml:space="preserve">Figure </w:t>
      </w:r>
      <w:r w:rsidR="002E6E9E">
        <w:rPr>
          <w:rFonts w:ascii="Times" w:hAnsi="Times"/>
        </w:rPr>
        <w:t>6</w:t>
      </w:r>
      <w:r>
        <w:rPr>
          <w:rFonts w:ascii="Times" w:hAnsi="Times"/>
        </w:rPr>
        <w:t xml:space="preserve">. Myo-cyanophage core gene </w:t>
      </w:r>
      <w:proofErr w:type="spellStart"/>
      <w:r w:rsidRPr="009658B8">
        <w:rPr>
          <w:rFonts w:ascii="Times" w:hAnsi="Times"/>
          <w:i/>
          <w:iCs/>
        </w:rPr>
        <w:t>cobS</w:t>
      </w:r>
      <w:proofErr w:type="spellEnd"/>
      <w:r>
        <w:rPr>
          <w:rFonts w:ascii="Times" w:hAnsi="Times"/>
        </w:rPr>
        <w:t xml:space="preserve"> phylotypes for A) HOT 278, B) GA03 St 20, C) ETNP, and D) ETSP. The </w:t>
      </w:r>
      <w:proofErr w:type="spellStart"/>
      <w:r w:rsidRPr="009658B8">
        <w:rPr>
          <w:rFonts w:ascii="Times" w:hAnsi="Times"/>
          <w:i/>
          <w:iCs/>
        </w:rPr>
        <w:t>cobS</w:t>
      </w:r>
      <w:proofErr w:type="spellEnd"/>
      <w:r>
        <w:rPr>
          <w:rFonts w:ascii="Times" w:hAnsi="Times"/>
        </w:rPr>
        <w:t xml:space="preserve"> </w:t>
      </w:r>
      <w:proofErr w:type="spellStart"/>
      <w:r>
        <w:rPr>
          <w:rFonts w:ascii="Times" w:hAnsi="Times"/>
        </w:rPr>
        <w:t>phylotgenetic</w:t>
      </w:r>
      <w:proofErr w:type="spellEnd"/>
      <w:r>
        <w:rPr>
          <w:rFonts w:ascii="Times" w:hAnsi="Times"/>
        </w:rPr>
        <w:t xml:space="preserve"> tree can be seen in Figure S7. </w:t>
      </w:r>
      <w:r w:rsidR="00DF1983">
        <w:rPr>
          <w:rFonts w:ascii="Times" w:hAnsi="Times"/>
        </w:rPr>
        <w:br w:type="page"/>
      </w:r>
    </w:p>
    <w:p w14:paraId="2325145D" w14:textId="77777777" w:rsidR="00DF1983" w:rsidRPr="00113325" w:rsidRDefault="00DF1983">
      <w:pPr>
        <w:rPr>
          <w:rFonts w:ascii="Times" w:hAnsi="Times"/>
        </w:rPr>
      </w:pPr>
    </w:p>
    <w:sectPr w:rsidR="00DF1983" w:rsidRPr="00113325" w:rsidSect="00591FA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FAE"/>
    <w:rsid w:val="00016B5B"/>
    <w:rsid w:val="00111BBD"/>
    <w:rsid w:val="00113325"/>
    <w:rsid w:val="00251FBE"/>
    <w:rsid w:val="00253363"/>
    <w:rsid w:val="002E6E9E"/>
    <w:rsid w:val="00377F6E"/>
    <w:rsid w:val="004821F0"/>
    <w:rsid w:val="00523068"/>
    <w:rsid w:val="0054152E"/>
    <w:rsid w:val="00577C77"/>
    <w:rsid w:val="0058003D"/>
    <w:rsid w:val="00591FAE"/>
    <w:rsid w:val="005C559A"/>
    <w:rsid w:val="006C59C1"/>
    <w:rsid w:val="0071730C"/>
    <w:rsid w:val="0077251C"/>
    <w:rsid w:val="00774C09"/>
    <w:rsid w:val="00780BA0"/>
    <w:rsid w:val="007B2DDC"/>
    <w:rsid w:val="009658B8"/>
    <w:rsid w:val="00AF484C"/>
    <w:rsid w:val="00C577AB"/>
    <w:rsid w:val="00C95670"/>
    <w:rsid w:val="00DE17F0"/>
    <w:rsid w:val="00DE24B0"/>
    <w:rsid w:val="00DF1983"/>
    <w:rsid w:val="00EB66E8"/>
    <w:rsid w:val="00EE7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728BC0"/>
  <w15:chartTrackingRefBased/>
  <w15:docId w15:val="{40F5D57C-49F0-6542-AD69-E943A7A82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332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672630">
      <w:bodyDiv w:val="1"/>
      <w:marLeft w:val="0"/>
      <w:marRight w:val="0"/>
      <w:marTop w:val="0"/>
      <w:marBottom w:val="0"/>
      <w:divBdr>
        <w:top w:val="none" w:sz="0" w:space="0" w:color="auto"/>
        <w:left w:val="none" w:sz="0" w:space="0" w:color="auto"/>
        <w:bottom w:val="none" w:sz="0" w:space="0" w:color="auto"/>
        <w:right w:val="none" w:sz="0" w:space="0" w:color="auto"/>
      </w:divBdr>
      <w:divsChild>
        <w:div w:id="210466055">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76BED-6528-5144-A86C-4F7A50B4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11</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Fuchsman</dc:creator>
  <cp:keywords/>
  <dc:description/>
  <cp:lastModifiedBy>Clara Fuchsman</cp:lastModifiedBy>
  <cp:revision>19</cp:revision>
  <dcterms:created xsi:type="dcterms:W3CDTF">2021-10-21T01:08:00Z</dcterms:created>
  <dcterms:modified xsi:type="dcterms:W3CDTF">2021-11-04T16:22:00Z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http://www.zotero.org/styles/environmental-microbiology</vt:lpwstr>
  </property>
  <property fmtid="{D5CDD505-2E9C-101B-9397-08002B2CF9AE}" pid="11" name="Mendeley Recent Style Name 4_1">
    <vt:lpwstr>Environmental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