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4D627" w14:textId="0937E68E" w:rsidR="00D2345D" w:rsidRDefault="00D2345D" w:rsidP="00A042CA">
      <w:pPr>
        <w:pStyle w:val="Title"/>
      </w:pPr>
      <w:r w:rsidRPr="00A042CA">
        <w:t>Human gut microbiota are associated with HIV-reactive immunoglobulin at baseline and following HIV vaccination</w:t>
      </w:r>
    </w:p>
    <w:p w14:paraId="40949C05" w14:textId="20324745" w:rsidR="00DB0070" w:rsidRDefault="00DB0070" w:rsidP="00DB0070"/>
    <w:p w14:paraId="43E4DCF6" w14:textId="6DFE0779" w:rsidR="00DB0070" w:rsidRDefault="00DB0070" w:rsidP="00DB0070">
      <w:r>
        <w:t>Jacob A. Cram*, Andrew Fiore-Gartland*, Sujatha Srinivasan, David Fredricks, James Kublin</w:t>
      </w:r>
    </w:p>
    <w:p w14:paraId="4FE86405" w14:textId="77777777" w:rsidR="00D2345D" w:rsidRPr="00D51C35" w:rsidRDefault="00D2345D" w:rsidP="00F617A6">
      <w:pPr>
        <w:pStyle w:val="Heading1"/>
      </w:pPr>
      <w:r w:rsidRPr="00D51C35">
        <w:t>Abstract</w:t>
      </w:r>
    </w:p>
    <w:p w14:paraId="2151E318" w14:textId="77777777" w:rsidR="00D2345D" w:rsidRPr="00D2345D" w:rsidRDefault="00D2345D" w:rsidP="00211BCA">
      <w:pPr>
        <w:rPr>
          <w:sz w:val="24"/>
          <w:szCs w:val="24"/>
        </w:rPr>
      </w:pPr>
      <w:r w:rsidRPr="00D2345D">
        <w:t xml:space="preserve">The human microbiome and immune system shape each other through lifelong interactions. These interactions have been proposed to modulate the immune system's response to vaccines. Previous studies have suggested that composition of the human gut microbiome may correlate with the efficacy of oral vaccines. Furthermore antibodies to tolerogenic commensal microbial antigens, which are structurally analogous to the human immunodeficiency virus (HIV) envelope protein glycoprotein 41 (gp41), may be cross reactive with gp41 protein and thus limit vaccine efficacy. To </w:t>
      </w:r>
      <w:r w:rsidR="008423A1">
        <w:t>improve</w:t>
      </w:r>
      <w:r w:rsidRPr="00D2345D">
        <w:t xml:space="preserve"> understand</w:t>
      </w:r>
      <w:r w:rsidR="008423A1">
        <w:t>ing of</w:t>
      </w:r>
      <w:r w:rsidRPr="00D2345D">
        <w:t xml:space="preserve"> the role of the human microbiome in modulating the immune response to HIV vaccines, we associated the gut microbiota composition, via 16S rRNA amplicon sequencing, of participants in the HIV Vaccine Trials Network 096 clinical trial to their HIV vaccine immune responses at baseline, two weeks post vaccination and six months post vaccination. We observed that (a) levels of IgG antibodies to gp41 at baseline, as well as (b) post vaccination concentrations of IgG antibodies to several vaccine targets, including the gp120 envelope protein, covaried with a subpopulation of the microbiome. Participants with bacterial communities that contained higher levels of Clostridiales had higher gp41 IgG baseline measurements and lower levels of vaccine response. Conversely, participants with low levels of Clostridiales but higher levels of Bacteroides showed the opposite effect. Furthermore, gp41 baseline and post vaccination immune responses were not directly correlated, suggesting that there are effects beyond the microbiome that also contribute to immune baselines and vaccine response heterogeneity. Our findings provide promising preliminary evidence that the microbiome may constitute an important correlate of protection and may be valuable to consider in the development of vaccines for HIV and other diseases.</w:t>
      </w:r>
    </w:p>
    <w:p w14:paraId="5D81C9F0" w14:textId="77777777" w:rsidR="00D2345D" w:rsidRPr="00D2345D" w:rsidRDefault="00D2345D" w:rsidP="00F617A6">
      <w:pPr>
        <w:pStyle w:val="Heading1"/>
        <w:rPr>
          <w:rFonts w:ascii="Times New Roman" w:hAnsi="Times New Roman" w:cs="Times New Roman"/>
          <w:b/>
          <w:bCs/>
          <w:sz w:val="48"/>
          <w:szCs w:val="48"/>
        </w:rPr>
      </w:pPr>
      <w:r w:rsidRPr="00D2345D">
        <w:t>Introduction</w:t>
      </w:r>
    </w:p>
    <w:p w14:paraId="572CDB32" w14:textId="36B1EBC0" w:rsidR="00D2345D" w:rsidRPr="00D2345D" w:rsidRDefault="00D2345D" w:rsidP="00211BCA">
      <w:pPr>
        <w:rPr>
          <w:sz w:val="24"/>
          <w:szCs w:val="24"/>
        </w:rPr>
      </w:pPr>
      <w:r w:rsidRPr="00D2345D">
        <w:lastRenderedPageBreak/>
        <w:t xml:space="preserve">Growing evidence suggests the composition and functions of the gut microbiota play a major role in regulating the immune system and its response to both pathogens and vaccines </w:t>
      </w:r>
      <w:r w:rsidR="00426B2B">
        <w:fldChar w:fldCharType="begin"/>
      </w:r>
      <w:r w:rsidR="00D34B5C">
        <w:instrText xml:space="preserve"> ADDIN ZOTERO_ITEM CSL_CITATION {"citationID":"zUZdYSin","properties":{"formattedCitation":"(Collins and Belkaid, 2017; Littman, 2017; Macpherson, 2017)","plainCitation":"(Collins and Belkaid, 2017; Littman, 2017; Macpherson, 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id":307,"uris":["http://zotero.org/groups/1167044/items/HHFQNWPM"],"uri":["http://zotero.org/groups/1167044/items/HHFQNWPM"],"itemData":{"id":307,"type":"article-journal","title":"Do the microbiota influence vaccines and protective immunity to pathogens?: If so, is there potential for efficacious microbiota-based vaccines?","container-title":"Cold Spring Harbor Perspectives in Biology","page":"a029355","source":"CrossRef","abstract":"The gut-resident constituents of the microbiota protect the mucosa from invasive pathogens\nthrough engagement of both innate and adaptive branches of the immune system. They are\nalso likely to provide systemic protection from pathogens, by enhancing host robustness and\ntolerance to the invasive microbes and by inducing immune responses that prevent their\ngrowth. These properties of commensal microbiota, particularly the capacity of some bac-\nteria to induce diverse types of antigen-specific immune responses, raises the prospect that\nthey could be deployed as vaccine vectors to generate effective local and systemic immunity\nto viral and bacterial pathogens.","DOI":"10.1101/cshperspect.a029355","ISSN":"1943-0264","shortTitle":"Do the Microbiota Influence Vaccines and Protective Immunity to Pathogens?","language":"en","author":[{"family":"Littman","given":"Dan R."}],"issued":{"date-parts":[["2017",4,21]]}}},{"id":305,"uris":["http://zotero.org/groups/1167044/items/GCUKIP8U"],"uri":["http://zotero.org/groups/1167044/items/GCUKIP8U"],"itemData":{"id":305,"type":"article-journal","title":"Do the microbiota influence vaccines and protective immunity to pathogens?: Issues of sovereignty, federalism, and points-testing in the prokaryotic and eukaryotic spaces of the host-microbial superorganism","container-title":"Cold Spring Harbor Perspectives in Biology","page":"a029363","source":"CrossRef","DOI":"10.1101/cshperspect.a029363","ISSN":"1943-0264","shortTitle":"Do the Microbiota Influence Vaccines and Protective Immunity to Pathogens?","language":"en","author":[{"family":"Macpherson","given":"Andrew J."}],"issued":{"date-parts":[["2017",4,21]]}}}],"schema":"https://github.com/citation-style-language/schema/raw/master/csl-citation.json"} </w:instrText>
      </w:r>
      <w:r w:rsidR="00426B2B">
        <w:fldChar w:fldCharType="separate"/>
      </w:r>
      <w:r w:rsidR="00D34B5C" w:rsidRPr="00D34B5C">
        <w:t xml:space="preserve">(Collins and </w:t>
      </w:r>
      <w:proofErr w:type="spellStart"/>
      <w:r w:rsidR="00D34B5C" w:rsidRPr="00D34B5C">
        <w:t>Belkaid</w:t>
      </w:r>
      <w:proofErr w:type="spellEnd"/>
      <w:r w:rsidR="00D34B5C" w:rsidRPr="00D34B5C">
        <w:t>, 2017; Littman, 2017; Macpherson, 2017)</w:t>
      </w:r>
      <w:r w:rsidR="00426B2B">
        <w:fldChar w:fldCharType="end"/>
      </w:r>
      <w:r w:rsidR="00426B2B">
        <w:t>.</w:t>
      </w:r>
      <w:r w:rsidRPr="00D2345D">
        <w:t xml:space="preserve"> Regions of the human immunodeficiency virus one (HIV-1) envelope glycoprotein 41 (gp41) are frequently targeted by B cell immunoglobulins (Ig) both in vaccination and natural infection and emerging evidence suggests that antibodies recognizing gp41 cross-react with commensal bacteria in the gut</w:t>
      </w:r>
      <w:r w:rsidR="00426B2B">
        <w:t xml:space="preserve"> </w:t>
      </w:r>
      <w:r w:rsidR="00566260">
        <w:fldChar w:fldCharType="begin"/>
      </w:r>
      <w:r w:rsidR="00D34B5C">
        <w:instrText xml:space="preserve"> ADDIN ZOTERO_ITEM CSL_CITATION {"citationID":"mkBgu47X","properties":{"formattedCitation":"(Trama et al., 2014; Williams et al., 2015)","plainCitation":"(Trama et al., 2014; Williams et al., 2015)","noteIndex":0},"citationItems":[{"id":4930,"uris":["http://zotero.org/groups/1167044/items/B7UZN7LM"],"uri":["http://zotero.org/groups/1167044/items/B7UZN7LM"],"itemData":{"id":4930,"type":"article-journal","title":"HIV-1 Envelope gp41 Antibodies Can Originate from Terminal Ileum B Cells that Share Cross-Reactivity with Commensal Bacteria","container-title":"Cell Host &amp; Microbe","page":"215-226","volume":"16","issue":"2","source":"ScienceDirect","abstract":"Summary\nMonoclonal antibodies derived from blood plasma cells of acute HIV-1-infected individuals are predominantly targeted to the HIV Env gp41 and cross-reactive with commensal bacteria. To understand this phenomenon, we examined anti-HIV responses in ileum B cells using recombinant antibody technology and probed their relationship to commensal bacteria. The dominant ileum B cell response was to Env gp41. Remarkably, a majority (82%) of the ileum anti-gp41 antibodies cross-reacted with commensal bacteria, and of those, 43% showed non-HIV-1 antigen polyreactivity. Pyrosequencing revealed shared HIV-1 antibody clonal lineages between ileum and blood. Mutated immunoglobulin G antibodies cross-reactive with both Env gp41 and microbiota could also be isolated from the ileum of HIV-1 uninfected individuals. Thus, the gp41 commensal bacterial antigen cross-reactive antibodies originate in the intestine, and the gp41 Env response in HIV-1 infection can be derived from a preinfection memory B cell pool triggered by commensal bacteria that cross-react with Env.","DOI":"10.1016/j.chom.2014.07.003","ISSN":"1931-3128","journalAbbreviation":"Cell Host &amp; Microbe","author":[{"family":"Trama","given":"Ashley M."},{"family":"Moody","given":"M. Anthony"},{"family":"Alam","given":"S. Munir"},{"family":"Jaeger","given":"Frederick H."},{"family":"Lockwood","given":"Bradley"},{"family":"Parks","given":"Robert"},{"family":"Lloyd","given":"Krissey E."},{"family":"Stolarchuk","given":"Christina"},{"family":"Scearce","given":"Richard"},{"family":"Foulger","given":"Andrew"},{"family":"Marshall","given":"Dawn J."},{"family":"Whitesides","given":"John F."},{"family":"Jeffries","given":"Thomas L."},{"family":"Wiehe","given":"Kevin"},{"family":"Morris","given":"Lynn"},{"family":"Lambson","given":"Bronwen"},{"family":"Soderberg","given":"Kelly"},{"family":"Hwang","given":"Kwan-Ki"},{"family":"Tomaras","given":"Georgia D."},{"family":"Vandergrift","given":"Nathan"},{"family":"Jackson","given":"Katherine J. L."},{"family":"Roskin","given":"Krishna M."},{"family":"Boyd","given":"Scott D."},{"family":"Kepler","given":"Thomas B."},{"family":"Liao","given":"Hua-Xin"},{"family":"Haynes","given":"Barton F."}],"issued":{"date-parts":[["2014",8,13]]}}},{"id":3755,"uris":["http://zotero.org/groups/1167044/items/5275UVXW"],"uri":["http://zotero.org/groups/1167044/items/5275UVXW"],"itemData":{"id":3755,"type":"article-journal","title":"Diversion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566260">
        <w:fldChar w:fldCharType="separate"/>
      </w:r>
      <w:r w:rsidR="00D34B5C" w:rsidRPr="00D34B5C">
        <w:t>(</w:t>
      </w:r>
      <w:proofErr w:type="spellStart"/>
      <w:r w:rsidR="00D34B5C" w:rsidRPr="00D34B5C">
        <w:t>Trama</w:t>
      </w:r>
      <w:proofErr w:type="spellEnd"/>
      <w:r w:rsidR="00D34B5C" w:rsidRPr="00D34B5C">
        <w:t xml:space="preserve"> et al., 2014; Williams et al., 2015)</w:t>
      </w:r>
      <w:r w:rsidR="00566260">
        <w:fldChar w:fldCharType="end"/>
      </w:r>
      <w:r w:rsidRPr="00D2345D">
        <w:t xml:space="preserve">. This was demonstrated in a recent HIV-1 vaccine efficacy trial of a </w:t>
      </w:r>
      <w:proofErr w:type="spellStart"/>
      <w:r w:rsidRPr="00D2345D">
        <w:t>multiclade</w:t>
      </w:r>
      <w:proofErr w:type="spellEnd"/>
      <w:r w:rsidRPr="00D2345D">
        <w:t xml:space="preserve"> gp140 DNA-prime and recombinant adenovirus type 5 (rAd5) boost, which elicited a dominant gp41-reactive antibody response that was non-neutralizing and cross-reactive with the intestinal microbiota</w:t>
      </w:r>
      <w:r w:rsidR="00566260">
        <w:t xml:space="preserve"> </w:t>
      </w:r>
      <w:r w:rsidR="00566260">
        <w:fldChar w:fldCharType="begin"/>
      </w:r>
      <w:r w:rsidR="00D34B5C">
        <w:instrText xml:space="preserve"> ADDIN ZOTERO_ITEM CSL_CITATION {"citationID":"KTS2Y1H3","properties":{"formattedCitation":"(Williams et al., 2015)","plainCitation":"(Williams et al., 2015)","noteIndex":0},"citationItems":[{"id":3755,"uris":["http://zotero.org/groups/1167044/items/5275UVXW"],"uri":["http://zotero.org/groups/1167044/items/5275UVXW"],"itemData":{"id":3755,"type":"article-journal","title":"Diversion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566260">
        <w:fldChar w:fldCharType="separate"/>
      </w:r>
      <w:r w:rsidR="00D34B5C" w:rsidRPr="00D34B5C">
        <w:t>(Williams et al., 2015)</w:t>
      </w:r>
      <w:r w:rsidR="00566260">
        <w:fldChar w:fldCharType="end"/>
      </w:r>
      <w:r w:rsidRPr="00D2345D">
        <w:t xml:space="preserve">. It remains an open question whether priming of gp41-reactive and possibly other HIV-1-reactive immune responses directly </w:t>
      </w:r>
      <w:r w:rsidR="00A042CA" w:rsidRPr="00D2345D">
        <w:t>influence</w:t>
      </w:r>
      <w:r w:rsidRPr="00D2345D">
        <w:t xml:space="preserve"> the vaccine-induced response.  The microbiome has furthermore been postulated to modulate vaccine response </w:t>
      </w:r>
      <w:r w:rsidR="00566260">
        <w:fldChar w:fldCharType="begin"/>
      </w:r>
      <w:r w:rsidR="00D34B5C">
        <w:instrText xml:space="preserve"> ADDIN ZOTERO_ITEM CSL_CITATION {"citationID":"SlL20NIC","properties":{"formattedCitation":"(Collins and Belkaid, 2017; Littman, 2017; Macpherson, 2017)","plainCitation":"(Collins and Belkaid, 2017; Littman, 2017; Macpherson, 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id":307,"uris":["http://zotero.org/groups/1167044/items/HHFQNWPM"],"uri":["http://zotero.org/groups/1167044/items/HHFQNWPM"],"itemData":{"id":307,"type":"article-journal","title":"Do the microbiota influence vaccines and protective immunity to pathogens?: If so, is there potential for efficacious microbiota-based vaccines?","container-title":"Cold Spring Harbor Perspectives in Biology","page":"a029355","source":"CrossRef","abstract":"The gut-resident constituents of the microbiota protect the mucosa from invasive pathogens\nthrough engagement of both innate and adaptive branches of the immune system. They are\nalso likely to provide systemic protection from pathogens, by enhancing host robustness and\ntolerance to the invasive microbes and by inducing immune responses that prevent their\ngrowth. These properties of commensal microbiota, particularly the capacity of some bac-\nteria to induce diverse types of antigen-specific immune responses, raises the prospect that\nthey could be deployed as vaccine vectors to generate effective local and systemic immunity\nto viral and bacterial pathogens.","DOI":"10.1101/cshperspect.a029355","ISSN":"1943-0264","shortTitle":"Do the Microbiota Influence Vaccines and Protective Immunity to Pathogens?","language":"en","author":[{"family":"Littman","given":"Dan R."}],"issued":{"date-parts":[["2017",4,21]]}}},{"id":305,"uris":["http://zotero.org/groups/1167044/items/GCUKIP8U"],"uri":["http://zotero.org/groups/1167044/items/GCUKIP8U"],"itemData":{"id":305,"type":"article-journal","title":"Do the microbiota influence vaccines and protective immunity to pathogens?: Issues of sovereignty, federalism, and points-testing in the prokaryotic and eukaryotic spaces of the host-microbial superorganism","container-title":"Cold Spring Harbor Perspectives in Biology","page":"a029363","source":"CrossRef","DOI":"10.1101/cshperspect.a029363","ISSN":"1943-0264","shortTitle":"Do the Microbiota Influence Vaccines and Protective Immunity to Pathogens?","language":"en","author":[{"family":"Macpherson","given":"Andrew J."}],"issued":{"date-parts":[["2017",4,21]]}}}],"schema":"https://github.com/citation-style-language/schema/raw/master/csl-citation.json"} </w:instrText>
      </w:r>
      <w:r w:rsidR="00566260">
        <w:fldChar w:fldCharType="separate"/>
      </w:r>
      <w:r w:rsidR="00D34B5C" w:rsidRPr="00D34B5C">
        <w:t xml:space="preserve">(Collins and </w:t>
      </w:r>
      <w:proofErr w:type="spellStart"/>
      <w:r w:rsidR="00D34B5C" w:rsidRPr="00D34B5C">
        <w:t>Belkaid</w:t>
      </w:r>
      <w:proofErr w:type="spellEnd"/>
      <w:r w:rsidR="00D34B5C" w:rsidRPr="00D34B5C">
        <w:t>, 2017; Littman, 2017; Macpherson, 2017)</w:t>
      </w:r>
      <w:r w:rsidR="00566260">
        <w:fldChar w:fldCharType="end"/>
      </w:r>
      <w:r w:rsidRPr="00D2345D">
        <w:t>, and indeed has been shown to associate with vaccine response in other diseases</w:t>
      </w:r>
      <w:r w:rsidR="00566260">
        <w:t xml:space="preserve"> </w:t>
      </w:r>
      <w:r w:rsidR="00566260">
        <w:fldChar w:fldCharType="begin"/>
      </w:r>
      <w:r w:rsidR="00D34B5C">
        <w:instrText xml:space="preserve"> ADDIN ZOTERO_ITEM CSL_CITATION {"citationID":"yo8F5uzE","properties":{"formattedCitation":"(Harris et al., 2017; Huda et al., 2014; Zimmermann and Curtis, 2018)","plainCitation":"(Harris et al., 2017; Huda et al., 2014; Zimmermann and Curtis, 2018)","noteIndex":0},"citationItems":[{"id":299,"uris":["http://zotero.org/groups/1167044/items/PV9FM27M"],"uri":["http://zotero.org/groups/1167044/items/PV9FM27M"],"itemData":{"id":299,"type":"article-journal","title":"Significant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B."}],"issued":{"date-parts":[["2014",8,1]]}}},{"id":4520,"uris":["http://zotero.org/groups/1167044/items/D76RFWCD"],"uri":["http://zotero.org/groups/1167044/items/D76RFWCD"],"itemData":{"id":4520,"type":"article-journal","title":"The influence of probiotics on vaccine responses – A systematic review","container-title":"Vaccine","page":"207-213","volume":"36","issue":"2","source":"CrossRef","DOI":"10.1016/j.vaccine.2017.08.069","ISSN":"0264410X","language":"en","author":[{"family":"Zimmermann","given":"Petra"},{"family":"Curtis","given":"Nigel"}],"issued":{"date-parts":[["2018",1]]}}}],"schema":"https://github.com/citation-style-language/schema/raw/master/csl-citation.json"} </w:instrText>
      </w:r>
      <w:r w:rsidR="00566260">
        <w:fldChar w:fldCharType="separate"/>
      </w:r>
      <w:r w:rsidR="00D34B5C" w:rsidRPr="00D34B5C">
        <w:t>(Harris et al., 2017; Huda et al., 2014; Zimmermann and Curtis, 2018)</w:t>
      </w:r>
      <w:r w:rsidR="00566260">
        <w:fldChar w:fldCharType="end"/>
      </w:r>
      <w:r w:rsidRPr="00D2345D">
        <w:t>.</w:t>
      </w:r>
    </w:p>
    <w:p w14:paraId="6EE1F34A" w14:textId="06469712" w:rsidR="00D2345D" w:rsidRPr="00D2345D" w:rsidRDefault="00D2345D" w:rsidP="00211BCA">
      <w:pPr>
        <w:rPr>
          <w:sz w:val="24"/>
          <w:szCs w:val="24"/>
        </w:rPr>
      </w:pPr>
      <w:r w:rsidRPr="00D2345D">
        <w:t xml:space="preserve">The RV144 vaccine efficacy trial showed that an HIV-1 </w:t>
      </w:r>
      <w:proofErr w:type="spellStart"/>
      <w:r w:rsidRPr="00D2345D">
        <w:t>Env</w:t>
      </w:r>
      <w:proofErr w:type="spellEnd"/>
      <w:r w:rsidRPr="00D2345D">
        <w:t xml:space="preserve"> containing pox-vector prime and bivalent recombinant </w:t>
      </w:r>
      <w:proofErr w:type="spellStart"/>
      <w:r w:rsidRPr="00D2345D">
        <w:t>Env</w:t>
      </w:r>
      <w:proofErr w:type="spellEnd"/>
      <w:r w:rsidRPr="00D2345D">
        <w:t xml:space="preserve"> gp120 boost provide</w:t>
      </w:r>
      <w:r w:rsidR="008423A1">
        <w:t>s</w:t>
      </w:r>
      <w:r w:rsidRPr="00D2345D">
        <w:t xml:space="preserve"> partial efficacy against HIV-1 infec</w:t>
      </w:r>
      <w:r w:rsidR="008423A1">
        <w:t>tion</w:t>
      </w:r>
      <w:r w:rsidR="00566260">
        <w:t xml:space="preserve"> </w:t>
      </w:r>
      <w:r w:rsidR="00566260">
        <w:fldChar w:fldCharType="begin"/>
      </w:r>
      <w:r w:rsidR="00D34B5C">
        <w:instrText xml:space="preserve"> ADDIN ZOTERO_ITEM CSL_CITATION {"citationID":"4g5fCcpR","properties":{"formattedCitation":"(Rerks-Ngarm et al., 2009)","plainCitation":"(Rerks-Ngarm et al., 2009)","noteIndex":0},"citationItems":[{"id":4663,"uris":["http://zotero.org/groups/1167044/items/DZPUAW7U"],"uri":["http://zotero.org/groups/1167044/items/DZPUAW7U"],"itemData":{"id":4663,"type":"article-journal","title":"Vaccination with ALVAC and AIDSVAX to Prevent HIV-1 Infection in Thailand","container-title":"New England Journal of Medicine","page":"2209-2220","volume":"361","issue":"23","source":"Taylor and Francis+NEJM","abstract":"With more than 7000 new HIV infections each day, there is a tremendous need for a prophylactic HIV vaccine. In this study involving more than 16,000 largely heterosexual subjects in Thailand, a vaccine regimen against HIV showed some efficacy against HIV acquisition but did not have an effect on the subsequent viral load or CD4+ count in those who became infected.","DOI":"10.1056/NEJMoa0908492","ISSN":"0028-4793","note":"PMID: 19843557","author":[{"family":"Rerks-Ngarm","given":"Supachai"},{"family":"Pitisuttithum","given":"Punnee"},{"family":"Nitayaphan","given":"Sorachai"},{"family":"Kaewkungwal","given":"Jaranit"},{"family":"Chiu","given":"Joseph"},{"family":"Paris","given":"Robert"},{"family":"Premsri","given":"Nakorn"},{"family":"Namwat","given":"Chawetsan"},{"family":"Souza","given":"Mark","non-dropping-particle":"de"},{"family":"Adams","given":"Elizabeth"},{"family":"Benenson","given":"Michael"},{"family":"Gurunathan","given":"Sanjay"},{"family":"Tartaglia","given":"Jim"},{"family":"McNeil","given":"John G."},{"family":"Francis","given":"Donald P."},{"family":"Stablein","given":"Donald"},{"family":"Birx","given":"Deborah L."},{"family":"Chunsuttiwat","given":"Supamit"},{"family":"Khamboonruang","given":"Chirasak"},{"family":"Thongcharoen","given":"Prasert"},{"family":"Robb","given":"Merlin L."},{"family":"Michael","given":"Nelson L."},{"family":"Kunasol","given":"Prayura"},{"family":"Kim","given":"Jerome H."}],"issued":{"date-parts":[["2009",12,3]]}}}],"schema":"https://github.com/citation-style-language/schema/raw/master/csl-citation.json"} </w:instrText>
      </w:r>
      <w:r w:rsidR="00566260">
        <w:fldChar w:fldCharType="separate"/>
      </w:r>
      <w:r w:rsidR="00D34B5C" w:rsidRPr="00D34B5C">
        <w:t>(</w:t>
      </w:r>
      <w:proofErr w:type="spellStart"/>
      <w:r w:rsidR="00D34B5C" w:rsidRPr="00D34B5C">
        <w:t>Rerks-Ngarm</w:t>
      </w:r>
      <w:proofErr w:type="spellEnd"/>
      <w:r w:rsidR="00D34B5C" w:rsidRPr="00D34B5C">
        <w:t xml:space="preserve"> et al., 2009)</w:t>
      </w:r>
      <w:r w:rsidR="00566260">
        <w:fldChar w:fldCharType="end"/>
      </w:r>
      <w:r w:rsidR="008423A1">
        <w:t>. N</w:t>
      </w:r>
      <w:r w:rsidRPr="00D2345D">
        <w:t>umerous follow-up studies now support the hypothe</w:t>
      </w:r>
      <w:r w:rsidR="008423A1">
        <w:t xml:space="preserve">sis that </w:t>
      </w:r>
      <w:proofErr w:type="spellStart"/>
      <w:r w:rsidR="008423A1">
        <w:t>Env</w:t>
      </w:r>
      <w:proofErr w:type="spellEnd"/>
      <w:r w:rsidR="008423A1">
        <w:t xml:space="preserve"> V1V2-specific IgG </w:t>
      </w:r>
      <w:r w:rsidRPr="00D2345D">
        <w:t>was associated with decreased risk of infection among vaccine recipients</w:t>
      </w:r>
      <w:r w:rsidR="00566260">
        <w:t xml:space="preserve"> </w:t>
      </w:r>
      <w:r w:rsidR="00566260">
        <w:fldChar w:fldCharType="begin"/>
      </w:r>
      <w:r w:rsidR="00D34B5C">
        <w:instrText xml:space="preserve"> ADDIN ZOTERO_ITEM CSL_CITATION {"citationID":"rF5iAWKV","properties":{"formattedCitation":"(Haynes et al., 2012; Yates et al., 2014; Zolla-Pazner et al., 2014)","plainCitation":"(Haynes et al., 2012; Yates et al., 2014; Zolla-Pazner et al., 2014)","noteIndex":0},"citationItems":[{"id":4934,"uris":["http://zotero.org/groups/1167044/items/K8AF4S47"],"uri":["http://zotero.org/groups/1167044/items/K8AF4S47"],"itemData":{"id":4934,"type":"article-journal","title":"Immune-Correlates Analysis of an HIV-1 Vaccine Efficacy Trial","container-title":"New England Journal of Medicine","page":"1275-1286","volume":"366","issue":"14","source":"Crossref","abstract":"BACKGROUND—In the RV144 trial, the estimated efficacy of a vaccine regimen against human immunodeficiency virus type 1 (HIV-1) was 31.2%. We performed a case–control analysis to identify antibody and cellular immune correlates of infection risk.\nMETHODS—In pilot studies conducted with RV144 blood samples, 17 antibody or cellular assays met prespecified criteria, of which 6 were chosen for primary analysis to determine the roles of T-cell, IgG antibody, and IgA antibody responses in the modulation of infection risk. Assays were performed on samples from 41 vaccinees who became infected and 205 uninfected vaccinees, obtained 2 weeks after final immunization, to evaluate whether immune-response variables predicted HIV-1 infection through 42 months of follow-up.\nRESULTS—Of six primary variables, two correlated significantly with infection risk: the binding of IgG antibodies to variable regions 1 and 2 (V1V2) of HIV-1 envelope proteins (Env) correlated inversely with the rate of HIV-1 infection (estimated odds ratio, 0.57 per 1-SD increase; P = 0.02; q = 0.08), and the binding of plasma IgA antibodies to Env correlated directly with the rate of infection (estimated odds ratio, 1.54 per 1-SD increase; P = 0.03; q = 0.08). Neither low levels of V1V2 antibodies nor high levels of Env-specific IgA antibodies were associated with higher rates of infection than were found in the placebo group. Secondary analyses suggested that Env-specific IgA antibodies may mitigate the effects of potentially protective antibodies.\nCONCLUSIONS—This immune-correlates study generated the hypotheses that V1V2 antibodies may have contributed to protection against HIV-1 infection, whereas high levels of Env-specific IgA antibodies may have mitigated the effects of protective antibodies. Vaccines that are designed","DOI":"10.1056/NEJMoa1113425","ISSN":"0028-4793, 1533-4406","language":"en","author":[{"family":"Haynes","given":"Barton F."},{"family":"Gilbert","given":"Peter B."},{"family":"McElrath","given":"M. Juliana"},{"family":"Zolla-Pazner","given":"Susan"},{"family":"Tomaras","given":"Georgia D."},{"family":"Alam","given":"S. Munir"},{"family":"Evans","given":"David T."},{"family":"Montefiori","given":"David C."},{"family":"Karnasuta","given":"Chitraporn"},{"family":"Sutthent","given":"Ruengpueng"},{"family":"Liao","given":"Hua-Xin"},{"family":"DeVico","given":"Anthony L."},{"family":"Lewis","given":"George K."},{"family":"Williams","given":"Constance"},{"family":"Pinter","given":"Abraham"},{"family":"Fong","given":"Youyi"},{"family":"Janes","given":"Holly"},{"family":"DeCamp","given":"Allan"},{"family":"Huang","given":"Yunda"},{"family":"Rao","given":"Mangala"},{"family":"Billings","given":"Erik"},{"family":"Karasavvas","given":"Nicos"},{"family":"Robb","given":"Merlin L."},{"family":"Ngauy","given":"Viseth"},{"family":"Souza","given":"Mark S.","non-dropping-particle":"de"},{"family":"Paris","given":"Robert"},{"family":"Ferrari","given":"Guido"},{"family":"Bailer","given":"Robert T."},{"family":"Soderberg","given":"Kelly A."},{"family":"Andrews","given":"Charla"},{"family":"Berman","given":"Phillip W."},{"family":"Frahm","given":"Nicole"},{"family":"De Rosa","given":"Stephen C."},{"family":"Alpert","given":"Michael D."},{"family":"Yates","given":"Nicole L."},{"family":"Shen","given":"Xiaoying"},{"family":"Koup","given":"Richard A."},{"family":"Pitisuttithum","given":"Punnee"},{"family":"Kaewkungwal","given":"Jaranit"},{"family":"Nitayaphan","given":"Sorachai"},{"family":"Rerks-Ngarm","given":"Supachai"},{"family":"Michael","given":"Nelson L."},{"family":"Kim","given":"Jerome H."}],"issued":{"date-parts":[["2012",4,5]]}}},{"id":4565,"uris":["http://zotero.org/groups/1167044/items/7JWT34BI"],"uri":["http://zotero.org/groups/1167044/items/7JWT34BI"],"itemData":{"id":4565,"type":"article-journal","title":"Vaccine-Induced Env V1–V2 IgG3 Correlates with Lower HIV-1 Infection Risk and Declines Soon After Vaccination","container-title":"Science translational medicine","page":"228ra39","volume":"6","issue":"228","source":"PubMed Central","abstract":"HIV-1–specific immunoglobulin G (IgG) subclass antibodies bind to distinct cellular Fc receptors. Antibodies of the same epitope specificity but of a different subclass therefore can have different antibody effector functions. The study of IgG subclass profiles between different vaccine regimens used in clinical trials with divergent efficacy outcomes can provide information on the quality of the vaccine-induced B cell response. We show that HIV-1–specific IgG3 distinguished two HIV-1 vaccine efficacy studies (RV144 and VAX003 clinical trials) and correlated with decreased risk of HIV-1 infection in a blinded follow-up case-control study with the RV144 vaccine. HIV-1–specific IgG3 responses were not long-lived, which was consistent with the waning efficacy of the RV144 vaccine. These data suggest that specific vaccine-induced HIV-1 IgG3 should be tested in future studies of immune correlates in HIV-1 vaccine efficacy trials.","DOI":"10.1126/scitranslmed.3007730","ISSN":"1946-6234","note":"PMID: 24648342\nPMCID: PMC4116665","journalAbbreviation":"Sci Transl Med","author":[{"family":"Yates","given":"Nicole L."},{"family":"Liao","given":"Hua-Xin"},{"family":"Fong","given":"Youyi"},{"family":"deCamp","given":"Allan"},{"family":"Vandergrift","given":"Nathan A."},{"family":"Williams","given":"William T."},{"family":"Alam","given":"S. Munir"},{"family":"Ferrari","given":"Guido"},{"family":"Yang","given":"Zhi-yong"},{"family":"Seaton","given":"Kelly E."},{"family":"Berman","given":"Phillip W."},{"family":"Alpert","given":"Michael D."},{"family":"Evans","given":"David T."},{"family":"O’Connell","given":"Robert J."},{"family":"Francis","given":"Donald"},{"family":"Sinangil","given":"Faruk"},{"family":"Lee","given":"Carter"},{"family":"Nitayaphan","given":"Sorachai"},{"family":"Rerks-Ngarm","given":"Supachai"},{"family":"Kaewkungwal","given":"Jaranit"},{"family":"Pitisuttithum","given":"Punnee"},{"family":"Tartaglia","given":"James"},{"family":"Pinter","given":"Abraham"},{"family":"Zolla-Pazner","given":"Susan"},{"family":"Gilbert","given":"Peter B."},{"family":"Nabel","given":"Gary J."},{"family":"Michael","given":"Nelson L."},{"family":"Kim","given":"Jerome H."},{"family":"Montefiori","given":"David C."},{"family":"Haynes","given":"Barton F."},{"family":"Tomaras","given":"Georgia D."}],"issued":{"date-parts":[["2014",3,19]]}}},{"id":4935,"uris":["http://zotero.org/groups/1167044/items/5YRAURMR"],"uri":["http://zotero.org/groups/1167044/items/5YRAURMR"],"itemData":{"id":4935,"type":"article-journal","title":"Vaccine-Induced IgG Antibodies to V1V2 Regions of Multiple HIV-1 Subtypes Correlate with Decreased Risk of HIV-1 Infection","container-title":"PLOS ONE","page":"e87572","volume":"9","issue":"2","source":"PLoS Journals","abstract":"In the RV144 HIV-1 vaccine efficacy trial, IgG antibody (Ab) binding levels to variable regions 1 and 2 (V1V2) of the HIV-1 envelope glycoprotein gp120 were an inverse correlate of risk of HIV-1 infection. To determine if V1V2-specific Abs cross-react with V1V2 from different HIV-1 subtypes, if the nature of the V1V2 antigen used to asses cross-reactivity influenced infection risk, and to identify immune assays for upcoming HIV-1 vaccine efficacy trials, new V1V2-scaffold antigens were designed and tested. Protein scaffold antigens carrying the V1V2 regions from HIV-1 subtypes A, B, C, D or CRF01_AE were assayed in pilot studies, and six were selected to assess cross-reactive Abs in the plasma from the original RV144 case-control cohort (41 infected vaccinees, 205 frequency-matched uninfected vaccinees, and 40 placebo recipients) using ELISA and a binding Ab multiplex assay. IgG levels to these antigens were assessed as correlates of risk in vaccine recipients using weighted logistic regression models. Levels of Abs reactive with subtype A, B, C and CRF01_AE V1V2-scaffold antigens were all significant inverse correlates of risk (p-values of 0.0008–0.05; estimated odds ratios of 0.53–0.68 per 1 standard deviation increase). Thus, levels of vaccine-induced IgG Abs recognizing V1V2 regions from multiple HIV-1 subtypes, and presented on different scaffolds, constitute inverse correlates of risk for HIV-1 infection in the RV144 vaccine trial. The V1V2 antigens provide a link between RV144 and upcoming HIV-1 vaccine trials, and identify reagents and methods for evaluating V1V2 Abs as possible correlates of protection against HIV-1 infection. Trial Registration ClinicalTrials.gov NCT00223080","DOI":"10.1371/journal.pone.0087572","ISSN":"1932-6203","journalAbbreviation":"PLOS ONE","language":"en","author":[{"family":"Zolla-Pazner","given":"Susan"},{"family":"deCamp","given":"Allan"},{"family":"Gilbert","given":"Peter B."},{"family":"Williams","given":"Constance"},{"family":"Yates","given":"Nicole L."},{"family":"Williams","given":"William T."},{"family":"Howington","given":"Robert"},{"family":"Fong","given":"Youyi"},{"family":"Morris","given":"Daryl E."},{"family":"Soderberg","given":"Kelly A."},{"family":"Irene","given":"Carmela"},{"family":"Reichman","given":"Charles"},{"family":"Pinter","given":"Abraham"},{"family":"Parks","given":"Robert"},{"family":"Pitisuttithum","given":"Punnee"},{"family":"Kaewkungwal","given":"Jaranit"},{"family":"Rerks-Ngarm","given":"Supachai"},{"family":"Nitayaphan","given":"Sorachai"},{"family":"Andrews","given":"Charla"},{"family":"O’Connell","given":"Robert J."},{"family":"Yang","given":"Zhi-yong"},{"family":"Nabel","given":"Gary J."},{"family":"Kim","given":"Jerome H."},{"family":"Michael","given":"Nelson L."},{"family":"Montefiori","given":"David C."},{"family":"Liao","given":"Hua-Xin"},{"family":"Haynes","given":"Barton F."},{"family":"Tomaras","given":"Georgia D."}],"issued":{"date-parts":[["2014",2,4]]}}}],"schema":"https://github.com/citation-style-language/schema/raw/master/csl-citation.json"} </w:instrText>
      </w:r>
      <w:r w:rsidR="00566260">
        <w:fldChar w:fldCharType="separate"/>
      </w:r>
      <w:r w:rsidR="00D34B5C" w:rsidRPr="00D34B5C">
        <w:t xml:space="preserve">(Haynes et al., 2012; Yates et al., 2014; </w:t>
      </w:r>
      <w:proofErr w:type="spellStart"/>
      <w:r w:rsidR="00D34B5C" w:rsidRPr="00D34B5C">
        <w:t>Zolla-Pazner</w:t>
      </w:r>
      <w:proofErr w:type="spellEnd"/>
      <w:r w:rsidR="00D34B5C" w:rsidRPr="00D34B5C">
        <w:t xml:space="preserve"> et al., 2014)</w:t>
      </w:r>
      <w:r w:rsidR="00566260">
        <w:fldChar w:fldCharType="end"/>
      </w:r>
      <w:r w:rsidRPr="00D2345D">
        <w:t>. Follow-up analyses suggest that efficacy was &gt;60% from 3-6 months after the first vaccination, but waned over the first 6 - 12 months</w:t>
      </w:r>
      <w:r w:rsidR="00980826">
        <w:t xml:space="preserve"> </w:t>
      </w:r>
      <w:r w:rsidR="00980826">
        <w:fldChar w:fldCharType="begin"/>
      </w:r>
      <w:r w:rsidR="00D34B5C">
        <w:instrText xml:space="preserve"> ADDIN ZOTERO_ITEM CSL_CITATION {"citationID":"yecM9wrw","properties":{"formattedCitation":"(Robb et al., 2012)","plainCitation":"(Robb et al., 2012)","noteIndex":0},"citationItems":[{"id":4669,"uris":["http://zotero.org/groups/1167044/items/9XXK8B59"],"uri":["http://zotero.org/groups/1167044/items/9XXK8B59"],"itemData":{"id":4669,"type":"article-journal","title":"Risk behaviour and time as covariates for efficacy of the HIV vaccine regimen ALVAC-HIV (vCP1521) and AIDSVAX B/E: a post-hoc analysis of the Thai phase 3 efficacy trial RV 144","container-title":"The Lancet Infectious Diseases","page":"531-537","volume":"12","issue":"7","source":"ScienceDirect","abstract":"Summary\nBackground\nThe Thai phase 3 HIV vaccine trial RV 144 showed modest efficacy of a vaccine against HIV acquisition. Baseline variables of age, sex, marital status, and risk did not modify vaccine efficacy. We did a post-hoc analysis of the trial's data to investigate behavioural risk and efficacy every 6 months after vaccination.\nMethods\nRV 144 was a randomised, multicentre, double-blind, placebo-controlled efficacy trial testing the combination of the HIV vaccines ALVAC-HIV (vCP1521) and AIDSVAX B/E to prevent HIV infection or reduce setpoint viral load. Male and female volunteers aged 18–30 years were recruited from the community. In this post-hoc analysis of the modified intention-to-treat population (16 395 participants), HIV risk behaviour was assessed with a self-administered questionnaire at the time of initial vaccination in the trial and every 6 months thereafter for 3 years. We classified participants' behaviour as low, medium, or high risk. Both the acquisition endpoint and the early viral-load endpoint were examined for interactions with risk status over time and temporal effects after vaccination. Multiple proportional hazards regression models with treatment and time-varying risk covariates were analysed.\nFindings\nRisk of acquisition of HIV was low in each risk group, but 9187 (58·2%) participants reported higher-risk behaviour at least once during the study. Participants classified as high or increasing risk at least once during follow-up were compared with those who maintained low-risk or medium-risk behaviour as a time-varying covariate, and the interaction of risk status and acquisition efficacy was significant (p=0·01), with greater benefit in low-risk individuals. Vaccine efficacy seemed to peak early—cumulative vaccine efficacy was estimated to be 60·5% (95% CI 22–80) through the 12 months after initial vaccination—and declined quickly. Vaccination did not seem to affect viral load in either early or late infections.\nInterpretation\nFuture HIV vaccine trials should recognise potential interactions between challenge intensity and risk heterogeneity in both population and treatment effects. The regimen tested in the RV 144 phase 3 trial might benefit from extended immunisation schedules.\nFunding\nUS Army Medical Research and Materiel Command and Division of AIDS, National Institute of Allergy and Infectious Disease, National Institutes of Health.","DOI":"10.1016/S1473-3099(12)70088-9","ISSN":"1473-3099","shortTitle":"Risk behaviour and time as covariates for efficacy of the HIV vaccine regimen ALVAC-HIV (vCP1521) and AIDSVAX B/E","journalAbbreviation":"The Lancet Infectious Diseases","author":[{"family":"Robb","given":"Merlin L"},{"family":"Rerks-Ngarm","given":"Supachai"},{"family":"Nitayaphan","given":"Sorachai"},{"family":"Pitisuttithum","given":"Punnee"},{"family":"Kaewkungwal","given":"Jaranit"},{"family":"Kunasol","given":"Prayura"},{"family":"Khamboonruang","given":"Chirasak"},{"family":"Thongcharoen","given":"Prasert"},{"family":"Morgan","given":"Patricia"},{"family":"Benenson","given":"Michael"},{"family":"Paris","given":"Robert M"},{"family":"Chiu","given":"Joseph"},{"family":"Adams","given":"Elizabeth"},{"family":"Francis","given":"Donald"},{"family":"Gurunathan","given":"Sanjay"},{"family":"Tartaglia","given":"Jim"},{"family":"Gilbert","given":"Peter"},{"family":"Stablein","given":"Don"},{"family":"Michael","given":"Nelson L"},{"family":"Kim","given":"Jerome H"}],"issued":{"date-parts":[["2012",7,1]]}}}],"schema":"https://github.com/citation-style-language/schema/raw/master/csl-citation.json"} </w:instrText>
      </w:r>
      <w:r w:rsidR="00980826">
        <w:fldChar w:fldCharType="separate"/>
      </w:r>
      <w:r w:rsidR="00D34B5C" w:rsidRPr="00D34B5C">
        <w:t>(Robb et al., 2012)</w:t>
      </w:r>
      <w:r w:rsidR="00980826">
        <w:fldChar w:fldCharType="end"/>
      </w:r>
      <w:r w:rsidR="00980826">
        <w:t>,</w:t>
      </w:r>
      <w:r w:rsidRPr="00D2345D">
        <w:t xml:space="preserve"> suggesting that improved antibody durability could</w:t>
      </w:r>
      <w:r w:rsidR="008423A1">
        <w:t xml:space="preserve"> be a path to improved efficacy</w:t>
      </w:r>
      <w:r w:rsidRPr="00D2345D">
        <w:t>. The HIV Vaccine Trials Network (HVTN) 096 study</w:t>
      </w:r>
      <w:r w:rsidR="00980826">
        <w:t xml:space="preserve"> </w:t>
      </w:r>
      <w:r w:rsidR="00980826">
        <w:fldChar w:fldCharType="begin"/>
      </w:r>
      <w:r w:rsidR="00D34B5C">
        <w:instrText xml:space="preserve"> ADDIN ZOTERO_ITEM CSL_CITATION {"citationID":"9rP3ed2n","properties":{"formattedCitation":"(Pantaleo et al., In Prep)","plainCitation":"(Pantaleo et al., In Prep)","noteIndex":0},"citationItems":[{"id":4682,"uris":["http://zotero.org/groups/1167044/items/QDFI6X7V"],"uri":["http://zotero.org/groups/1167044/items/QDFI6X7V"],"itemData":{"id":4682,"type":"article-journal","title":"Co-administration of HIV Env protein with DNA and/or NYVAC vaccines in humans results in earlier and potent generation of anti-Env antibody responses","abstract":"Karuna","author":[{"family":"Pantaleo","given":"Giuseppe"},{"family":"Janes","given":"Holly"},{"family":"Karuna","given":"Shelly"},{"family":"Grant","given":"Shannon"},{"family":"Ouedraogo","given":"Liassa"}],"issued":{"literal":"In Prep"}}}],"schema":"https://github.com/citation-style-language/schema/raw/master/csl-citation.json"} </w:instrText>
      </w:r>
      <w:r w:rsidR="00980826">
        <w:fldChar w:fldCharType="separate"/>
      </w:r>
      <w:r w:rsidR="00D34B5C" w:rsidRPr="00D34B5C">
        <w:t>(Pantaleo et al., In Prep)</w:t>
      </w:r>
      <w:r w:rsidR="00980826">
        <w:fldChar w:fldCharType="end"/>
      </w:r>
      <w:r w:rsidRPr="00D2345D">
        <w:t xml:space="preserve"> evaluated several pox prime, gp120 boost regimens with an objective to improve upon the immune responses elicited by the RV144 vaccine. Co-administration of AIDSVAX</w:t>
      </w:r>
      <w:r w:rsidRPr="00D2345D">
        <w:rPr>
          <w:sz w:val="13"/>
          <w:szCs w:val="13"/>
          <w:vertAlign w:val="superscript"/>
        </w:rPr>
        <w:t>®</w:t>
      </w:r>
      <w:r w:rsidRPr="00D2345D">
        <w:t xml:space="preserve"> B/E a gp120 protein, with either a DNA plasmid or vaccinia virus containing DNA (NYVAC) containing genes encoding </w:t>
      </w:r>
      <w:proofErr w:type="spellStart"/>
      <w:r w:rsidRPr="00D2345D">
        <w:t>Env</w:t>
      </w:r>
      <w:proofErr w:type="spellEnd"/>
      <w:r w:rsidRPr="00D2345D">
        <w:t xml:space="preserve">, Pol, Gag and </w:t>
      </w:r>
      <w:proofErr w:type="spellStart"/>
      <w:r w:rsidRPr="00D2345D">
        <w:t>Nef</w:t>
      </w:r>
      <w:proofErr w:type="spellEnd"/>
      <w:r w:rsidRPr="00D2345D">
        <w:t xml:space="preserve"> HIV-1 proteins elicited V1V2-specific and additional gp120-specific IgG, yet there was substantial heterogeneity in the response magnitude and durability among vaccine recipients (Pantaleo et al., In Prep). A critical goal of ongoing HIV-1 vaccine research is to identify factors that influence vaccine response heterogeneity, a common trait of many, if not all vaccines.</w:t>
      </w:r>
    </w:p>
    <w:p w14:paraId="6D3F4DD3" w14:textId="77777777" w:rsidR="00D2345D" w:rsidRPr="00D2345D" w:rsidRDefault="00D2345D" w:rsidP="00211BCA">
      <w:pPr>
        <w:rPr>
          <w:sz w:val="24"/>
          <w:szCs w:val="24"/>
        </w:rPr>
      </w:pPr>
      <w:r w:rsidRPr="00D2345D">
        <w:t xml:space="preserve">We studied the immune responses of participants in the HVTN 096 study and the composition of their intestinal microbiota using 16S-targeted sequencing of rectal secretions. We hypothesized that the gut microbial composition is associated with pre-vaccination levels of gp41-reactive antibodies. We further hypothesized that the microbiome would associate as well with post-vaccination levels of HIV-1 envelope </w:t>
      </w:r>
      <w:r w:rsidRPr="00D2345D">
        <w:lastRenderedPageBreak/>
        <w:t xml:space="preserve">specific antibodies (including gp41 and gp120 subunits). To test this hypothesis, we applied “global” tests that examined whether participants with similar microbiota also had similar baseline or post-vaccine levels of </w:t>
      </w:r>
      <w:proofErr w:type="spellStart"/>
      <w:r w:rsidRPr="00D2345D">
        <w:t>Env</w:t>
      </w:r>
      <w:proofErr w:type="spellEnd"/>
      <w:r w:rsidRPr="00D2345D">
        <w:t>-reactive IgG. We then further characterized globally significant associations by applying “local” taxon-specific tests to identify specific bacteria that may be driving the association. We found that baseline levels of gp41-reactive IgG and post-vaccination levels of gp120-reactive IgG were globally associated with the composition of the gut microbiota and that both effects involve changes in the relative abundance of different taxa. We found no associations of microbial composition with vaccine-induced T cell responses. The results support the hypothesis that the gut microbiota modulates human immune responses, including those to HIV-1 vaccination.</w:t>
      </w:r>
    </w:p>
    <w:p w14:paraId="30997FE1" w14:textId="77777777" w:rsidR="00D2345D" w:rsidRPr="00D2345D" w:rsidRDefault="00D2345D" w:rsidP="00F617A6">
      <w:pPr>
        <w:pStyle w:val="Heading1"/>
        <w:rPr>
          <w:rFonts w:ascii="Times New Roman" w:hAnsi="Times New Roman" w:cs="Times New Roman"/>
          <w:b/>
          <w:bCs/>
          <w:sz w:val="48"/>
          <w:szCs w:val="48"/>
        </w:rPr>
      </w:pPr>
      <w:r w:rsidRPr="00D2345D">
        <w:t>Methods</w:t>
      </w:r>
    </w:p>
    <w:p w14:paraId="0BCBA7B1" w14:textId="77777777" w:rsidR="00D2345D" w:rsidRPr="00211BCA" w:rsidRDefault="00D2345D" w:rsidP="00F617A6">
      <w:pPr>
        <w:pStyle w:val="Heading2"/>
      </w:pPr>
      <w:r w:rsidRPr="00211BCA">
        <w:t>Study Design</w:t>
      </w:r>
    </w:p>
    <w:p w14:paraId="1EECF9AF" w14:textId="277B629E" w:rsidR="00D2345D" w:rsidRPr="00D2345D" w:rsidRDefault="00D2345D" w:rsidP="00211BCA">
      <w:pPr>
        <w:rPr>
          <w:sz w:val="24"/>
          <w:szCs w:val="24"/>
        </w:rPr>
      </w:pPr>
      <w:r w:rsidRPr="00D2345D">
        <w:t xml:space="preserve">HVTN 096 was designed to test the safety and priming ability of either NYVAC-HIV-PT-1/NYVAC-HIV-PT-4 (hereafter NYVAC); or DNA-HIV-PT124, a trivalent bare DNA plasmid either alone or in combination with a bivalent recombinant </w:t>
      </w:r>
      <w:proofErr w:type="spellStart"/>
      <w:r w:rsidRPr="00D2345D">
        <w:t>Env</w:t>
      </w:r>
      <w:proofErr w:type="spellEnd"/>
      <w:r w:rsidRPr="00D2345D">
        <w:t xml:space="preserve"> gp120 protein boost (</w:t>
      </w:r>
      <w:r w:rsidR="008423A1" w:rsidRPr="00D2345D">
        <w:t>AIDSVAX</w:t>
      </w:r>
      <w:r w:rsidR="008423A1" w:rsidRPr="00D2345D">
        <w:rPr>
          <w:rFonts w:ascii="MS Gothic" w:eastAsia="MS Gothic" w:hAnsi="MS Gothic" w:cs="MS Gothic" w:hint="eastAsia"/>
          <w:sz w:val="13"/>
          <w:szCs w:val="13"/>
          <w:vertAlign w:val="superscript"/>
        </w:rPr>
        <w:t>Ⓡ</w:t>
      </w:r>
      <w:r w:rsidR="008423A1" w:rsidRPr="00D2345D">
        <w:t xml:space="preserve"> B</w:t>
      </w:r>
      <w:r w:rsidRPr="00D2345D">
        <w:t>/E). (</w:t>
      </w:r>
      <w:proofErr w:type="gramStart"/>
      <w:r w:rsidRPr="00D2345D">
        <w:t>Supplement</w:t>
      </w:r>
      <w:proofErr w:type="gramEnd"/>
      <w:r w:rsidRPr="00D2345D">
        <w:t xml:space="preserve">, </w:t>
      </w:r>
      <w:proofErr w:type="gramStart"/>
      <w:r w:rsidRPr="00D2345D">
        <w:t>Cite Protocol Here</w:t>
      </w:r>
      <w:proofErr w:type="gramEnd"/>
      <w:r w:rsidRPr="00D2345D">
        <w:t xml:space="preserve">). The study contained four experimental groups each with primes administered at months 0 and 1, and boosts administered at months </w:t>
      </w:r>
      <w:proofErr w:type="gramStart"/>
      <w:r w:rsidRPr="00D2345D">
        <w:t>3</w:t>
      </w:r>
      <w:proofErr w:type="gramEnd"/>
      <w:r w:rsidRPr="00D2345D">
        <w:t xml:space="preserve"> and 6. Pr</w:t>
      </w:r>
      <w:r w:rsidR="008423A1">
        <w:t xml:space="preserve">imes for each of the four </w:t>
      </w:r>
      <w:r w:rsidRPr="00D2345D">
        <w:t xml:space="preserve">experimental groups were (T1) NYVAC, (T2) NYVAC + AIDSVAX, (T3) DNA plasmid, (T4) DNA plasmid + AIDSVAX. In all </w:t>
      </w:r>
      <w:r w:rsidR="008423A1" w:rsidRPr="00D2345D">
        <w:t>treatments,</w:t>
      </w:r>
      <w:r w:rsidRPr="00D2345D">
        <w:t xml:space="preserve"> the boost was a combination of NYVAC and AIDSVAX. An additional subset of control participants were administered placebo (Sodium chloride 0.9% solution for NYVAC placebos and 600mgc alum/mL for AIDSVAX)</w:t>
      </w:r>
      <w:r w:rsidR="00980826">
        <w:t xml:space="preserve"> </w:t>
      </w:r>
      <w:r w:rsidR="00980826">
        <w:fldChar w:fldCharType="begin"/>
      </w:r>
      <w:r w:rsidR="00D34B5C">
        <w:instrText xml:space="preserve"> ADDIN ZOTERO_ITEM CSL_CITATION {"citationID":"eTeUDUut","properties":{"formattedCitation":"(Pantaleo et al., In Prep)","plainCitation":"(Pantaleo et al., In Prep)","noteIndex":0},"citationItems":[{"id":4682,"uris":["http://zotero.org/groups/1167044/items/QDFI6X7V"],"uri":["http://zotero.org/groups/1167044/items/QDFI6X7V"],"itemData":{"id":4682,"type":"article-journal","title":"Co-administration of HIV Env protein with DNA and/or NYVAC vaccines in humans results in earlier and potent generation of anti-Env antibody responses","abstract":"Karuna","author":[{"family":"Pantaleo","given":"Giuseppe"},{"family":"Janes","given":"Holly"},{"family":"Karuna","given":"Shelly"},{"family":"Grant","given":"Shannon"},{"family":"Ouedraogo","given":"Liassa"}],"issued":{"literal":"In Prep"}}}],"schema":"https://github.com/citation-style-language/schema/raw/master/csl-citation.json"} </w:instrText>
      </w:r>
      <w:r w:rsidR="00980826">
        <w:fldChar w:fldCharType="separate"/>
      </w:r>
      <w:r w:rsidR="00D34B5C" w:rsidRPr="00D34B5C">
        <w:t>(Pantaleo et al., In Prep)</w:t>
      </w:r>
      <w:r w:rsidR="00980826">
        <w:fldChar w:fldCharType="end"/>
      </w:r>
      <w:r w:rsidRPr="00D2345D">
        <w:t>.</w:t>
      </w:r>
    </w:p>
    <w:p w14:paraId="043373E3" w14:textId="77777777" w:rsidR="00D2345D" w:rsidRPr="00D2345D" w:rsidRDefault="00D2345D" w:rsidP="00211BCA">
      <w:pPr>
        <w:rPr>
          <w:sz w:val="24"/>
          <w:szCs w:val="24"/>
        </w:rPr>
      </w:pPr>
      <w:r w:rsidRPr="00D2345D">
        <w:t>We focused on immunological measurements using samples provided at three time points: Day 0 (baseline) Month 6.5, the protocol-specified Primary Immunological endpoint (two weeks after the final boost), and Month 12 (a durability time point). Analysis of the gut microbiota and immunological measures was limited to participants for whom both data were available (n = 21); the participants were divided among the experimental treatment groups (7 participants in T1, 3 in T2, 6 in T3, 5 in T4). Due to the limited number of samples, data was pooled across the vaccine groups.</w:t>
      </w:r>
    </w:p>
    <w:p w14:paraId="44F17F9D" w14:textId="77777777" w:rsidR="00D2345D" w:rsidRPr="00D2345D" w:rsidRDefault="00D2345D" w:rsidP="00F617A6">
      <w:pPr>
        <w:pStyle w:val="Heading2"/>
        <w:rPr>
          <w:rFonts w:ascii="Times New Roman" w:hAnsi="Times New Roman" w:cs="Times New Roman"/>
          <w:b/>
          <w:bCs/>
          <w:sz w:val="36"/>
          <w:szCs w:val="36"/>
        </w:rPr>
      </w:pPr>
      <w:r w:rsidRPr="00D2345D">
        <w:t>Data collection</w:t>
      </w:r>
    </w:p>
    <w:p w14:paraId="7FB9940E" w14:textId="3BDBD15D" w:rsidR="00D2345D" w:rsidRPr="00D2345D" w:rsidRDefault="00D2345D" w:rsidP="00211BCA">
      <w:pPr>
        <w:rPr>
          <w:b/>
          <w:bCs/>
          <w:sz w:val="36"/>
          <w:szCs w:val="36"/>
        </w:rPr>
      </w:pPr>
      <w:r w:rsidRPr="00D2345D">
        <w:lastRenderedPageBreak/>
        <w:t>Immune data were generated as described by Pantaleo et al. (In Prep). Briefly, antibody binding was measured with the binding antibody multiplex assay</w:t>
      </w:r>
      <w:r w:rsidR="009D75FA">
        <w:t xml:space="preserve"> </w:t>
      </w:r>
      <w:r w:rsidR="009D75FA">
        <w:fldChar w:fldCharType="begin"/>
      </w:r>
      <w:r w:rsidR="00D34B5C">
        <w:instrText xml:space="preserve"> ADDIN ZOTERO_ITEM CSL_CITATION {"citationID":"eHg7y36e","properties":{"formattedCitation":"(BAMA; Tomaras et al., 2008)","plainCitation":"(BAMA; Tomaras et al., 2008)","noteIndex":0},"citationItems":[{"id":4941,"uris":["http://zotero.org/groups/1167044/items/P6DM5G92"],"uri":["http://zotero.org/groups/1167044/items/P6DM5G92"],"itemData":{"id":4941,"type":"article-journal","title":"Initial B-Cell Responses to Transmitted Human Immunodeficiency Virus Type 1: Virion-Binding Immunoglobulin M (IgM) and IgG Antibodies Followed by Plasma Anti-gp41 Antibodies with Ineffective Control of Initial Viremia","container-title":"Journal of Virology","page":"12449-12463","volume":"82","issue":"24","source":"Crossref","DOI":"10.1128/JVI.01708-08","ISSN":"0022-538X","shortTitle":"Initial B-Cell Responses to Transmitted Human Immunodeficiency Virus Type 1","language":"en","author":[{"family":"Tomaras","given":"G. D."},{"family":"Yates","given":"N. L."},{"family":"Liu","given":"P."},{"family":"Qin","given":"L."},{"family":"Fouda","given":"G. G."},{"family":"Chavez","given":"L. L."},{"family":"Decamp","given":"A. C."},{"family":"Parks","given":"R. J."},{"family":"Ashley","given":"V. C."},{"family":"Lucas","given":"J. T."},{"family":"Cohen","given":"M."},{"family":"Eron","given":"J."},{"family":"Hicks","given":"C. B."},{"family":"Liao","given":"H.-X."},{"family":"Self","given":"S. G."},{"family":"Landucci","given":"G."},{"family":"Forthal","given":"D. N."},{"family":"Weinhold","given":"K. J."},{"family":"Keele","given":"B. F."},{"family":"Hahn","given":"B. H."},{"family":"Greenberg","given":"M. L."},{"family":"Morris","given":"L."},{"family":"Karim","given":"S. S. A."},{"family":"Blattner","given":"W. A."},{"family":"Montefiori","given":"D. C."},{"family":"Shaw","given":"G. M."},{"family":"Perelson","given":"A. S."},{"family":"Haynes","given":"B. F."}],"issued":{"date-parts":[["2008",12,15]]}},"prefix":"BAMA;"}],"schema":"https://github.com/citation-style-language/schema/raw/master/csl-citation.json"} </w:instrText>
      </w:r>
      <w:r w:rsidR="009D75FA">
        <w:fldChar w:fldCharType="separate"/>
      </w:r>
      <w:r w:rsidR="00D34B5C" w:rsidRPr="00D34B5C">
        <w:t xml:space="preserve">(BAMA; </w:t>
      </w:r>
      <w:proofErr w:type="spellStart"/>
      <w:r w:rsidR="00D34B5C" w:rsidRPr="00D34B5C">
        <w:t>Tomaras</w:t>
      </w:r>
      <w:proofErr w:type="spellEnd"/>
      <w:r w:rsidR="00D34B5C" w:rsidRPr="00D34B5C">
        <w:t xml:space="preserve"> et al., 2008)</w:t>
      </w:r>
      <w:r w:rsidR="009D75FA">
        <w:fldChar w:fldCharType="end"/>
      </w:r>
      <w:r w:rsidRPr="00D2345D">
        <w:t>. Intracellular cytokine staining was performed on cryopreserved peripheral blood mononuclear cells to measure CD4+ T cell responses to vaccine-matched peptide pools for each HIV-1 protein; the proportion of cells expressing interferon gamma (</w:t>
      </w:r>
      <w:proofErr w:type="spellStart"/>
      <w:r w:rsidRPr="00D2345D">
        <w:t>IFNγ</w:t>
      </w:r>
      <w:proofErr w:type="spellEnd"/>
      <w:r w:rsidRPr="00D2345D">
        <w:t xml:space="preserve">) and/or interleukin 2 (IL-2) was used as the magnitude of the response; analysis was limited to </w:t>
      </w:r>
      <w:proofErr w:type="spellStart"/>
      <w:r w:rsidRPr="00D2345D">
        <w:t>Env</w:t>
      </w:r>
      <w:proofErr w:type="spellEnd"/>
      <w:r w:rsidRPr="00D2345D">
        <w:t xml:space="preserve">-specific responses summed across X </w:t>
      </w:r>
      <w:proofErr w:type="spellStart"/>
      <w:r w:rsidRPr="00D2345D">
        <w:t>Env</w:t>
      </w:r>
      <w:proofErr w:type="spellEnd"/>
      <w:r w:rsidRPr="00D2345D">
        <w:t xml:space="preserve">-containing peptide pools. Analysis was focused on IgG and IgA levels for a subset of BAMA antigens: gp41, gag p24, CON6 gp120 B, ZM96 gp140 protein (encoded by the DNA and NYVAC </w:t>
      </w:r>
      <w:proofErr w:type="spellStart"/>
      <w:r w:rsidRPr="00D2345D">
        <w:t>immunogens</w:t>
      </w:r>
      <w:proofErr w:type="spellEnd"/>
      <w:r w:rsidRPr="00D2345D">
        <w:t xml:space="preserve">), and gp70 B </w:t>
      </w:r>
      <w:proofErr w:type="spellStart"/>
      <w:r w:rsidRPr="00D2345D">
        <w:t>CaseA</w:t>
      </w:r>
      <w:proofErr w:type="spellEnd"/>
      <w:r w:rsidRPr="00D2345D">
        <w:t xml:space="preserve"> V1-V2 protein. Antigen-specific IgA was measured, again with BAMA for the gp41 and p24 proteins. Respon</w:t>
      </w:r>
      <w:r w:rsidR="008423A1">
        <w:t>se magnitudes were examined for</w:t>
      </w:r>
      <w:r w:rsidRPr="00D2345D">
        <w:t xml:space="preserve"> IgGs, </w:t>
      </w:r>
      <w:proofErr w:type="spellStart"/>
      <w:r w:rsidRPr="00D2345D">
        <w:t>IgAs</w:t>
      </w:r>
      <w:proofErr w:type="spellEnd"/>
      <w:r w:rsidRPr="00D2345D">
        <w:t xml:space="preserve"> and HIV envelope specific CD4+ T cells. A Box-Cox transformation was used to normalize the data and decrease sensitivity to outliers. Analysis was also performed on </w:t>
      </w:r>
      <w:proofErr w:type="spellStart"/>
      <w:r w:rsidRPr="00D2345D">
        <w:t>binarized</w:t>
      </w:r>
      <w:proofErr w:type="spellEnd"/>
      <w:r w:rsidRPr="00D2345D">
        <w:t xml:space="preserve"> data, using the median to split participants into high and low categories. </w:t>
      </w:r>
    </w:p>
    <w:p w14:paraId="0D71DE1E" w14:textId="4DDE37D6" w:rsidR="00D2345D" w:rsidRPr="008423A1" w:rsidRDefault="00D2345D" w:rsidP="00211BCA">
      <w:pPr>
        <w:rPr>
          <w:sz w:val="24"/>
          <w:szCs w:val="24"/>
        </w:rPr>
      </w:pPr>
      <w:r w:rsidRPr="00D2345D">
        <w:t>Microbiome samples were collected and DNA extracted from rectal wecks taken at baseline</w:t>
      </w:r>
      <w:r w:rsidRPr="00D2345D">
        <w:rPr>
          <w:color w:val="980000"/>
        </w:rPr>
        <w:t xml:space="preserve"> </w:t>
      </w:r>
      <w:r w:rsidRPr="008423A1">
        <w:rPr>
          <w:color w:val="auto"/>
        </w:rPr>
        <w:t xml:space="preserve">(Supplement). </w:t>
      </w:r>
      <w:r w:rsidRPr="00D2345D">
        <w:t>Samples from the earliest available sample (day 0 for 3 participants, month 6.5 for 11 participants and month 12 for 7 participants) were amplified with barcoded 16S primers</w:t>
      </w:r>
      <w:r w:rsidR="009D75FA">
        <w:t xml:space="preserve"> </w:t>
      </w:r>
      <w:r w:rsidRPr="00D2345D">
        <w:t>that targeted the hypervariable sequence containing V3-V4 region and sequenced on a Roche 454 as described by Srinivasan et al.</w:t>
      </w:r>
      <w:r w:rsidR="009D75FA">
        <w:t xml:space="preserve"> </w:t>
      </w:r>
      <w:r w:rsidR="009D75FA">
        <w:fldChar w:fldCharType="begin"/>
      </w:r>
      <w:r w:rsidR="00D34B5C">
        <w:instrText xml:space="preserve"> ADDIN ZOTERO_ITEM CSL_CITATION {"citationID":"nHGShh7S","properties":{"formattedCitation":"(2012)","plainCitation":"(2012)","noteIndex":0},"citationItems":[{"id":4162,"uris":["http://zotero.org/groups/1167044/items/CNFD2CVV"],"uri":["http://zotero.org/groups/1167044/items/CNFD2CVV"],"itemData":{"id":4162,"type":"article-journal","title":"Bacterial Communities in Women with Bacterial Vaginosis: High Resolution Phylogenetic Analyses Reveal Relationships of Microbiota to Clinical Criteria","container-title":"PLOS ONE","page":"e37818","volume":"7","issue":"6","source":"PLoS Journals","abstract":"Background Bacterial vaginosis (BV) is a common condition that is associated with numerous adverse health outcomes and is characterized by poorly understood changes in the vaginal microbiota. We sought to describe the composition and diversity of the vaginal bacterial biota in women with BV using deep sequencing of the 16S rRNA gene coupled with species-level taxonomic identification. We investigated the associations between the presence of individual bacterial species and clinical diagnostic characteristics of BV.   Methodology/Principal Findings Broad-range 16S rRNA gene PCR and pyrosequencing were performed on vaginal swabs from 220 women with and without BV. BV was assessed by Amsel’s clinical criteria and confirmed by Gram stain. Taxonomic classification was performed using phylogenetic placement tools that assigned 99% of query sequence reads to the species level. Women with BV had heterogeneous vaginal bacterial communities that were usually not dominated by a single taxon. In the absence of BV, vaginal bacterial communities were dominated by either Lactobacillus crispatus or Lactobacillus iners. Leptotrichia amnionii and Eggerthella sp. were the only two BV-associated bacteria (BVABs) significantly associated with each of the four Amsel’s criteria. Co-occurrence analysis revealed the presence of several sub-groups of BVABs suggesting metabolic co-dependencies. Greater abundance of several BVABs was observed in Black women without BV.   Conclusions/Significance The human vaginal bacterial biota is heterogeneous and marked by greater species richness and diversity in women with BV; no species is universally present. Different bacterial species have different associations with the four clinical criteria, which may account for discrepancies often observed between Amsel and Nugent (Gram stain) diagnostic criteria. Several BVABs exhibited race-dependent prevalence when analyzed in separate groups by BV status which may contribute to increased incidence of BV in Black women. Tools developed in this project can be used to study microbial ecology in diverse settings at high resolution.","DOI":"10.1371/journal.pone.0037818","ISSN":"1932-6203","shortTitle":"Bacterial Communities in Women with Bacterial Vaginosis","journalAbbreviation":"PLOS ONE","author":[{"family":"Srinivasan","given":"Sujatha"},{"family":"Hoffman","given":"Noah G."},{"family":"Morgan","given":"Martin T."},{"family":"Matsen","given":"Frederick A."},{"family":"Fiedler","given":"Tina L."},{"family":"Hall","given":"Robert W."},{"family":"Ross","given":"Frederick J."},{"family":"McCoy","given":"Connor O."},{"family":"Bumgarner","given":"Roger"},{"family":"Marrazzo","given":"Jeanne M."},{"family":"Fredricks","given":"David N."}],"issued":{"date-parts":[["2012",6,18]]}},"suppress-author":true}],"schema":"https://github.com/citation-style-language/schema/raw/master/csl-citation.json"} </w:instrText>
      </w:r>
      <w:r w:rsidR="009D75FA">
        <w:fldChar w:fldCharType="separate"/>
      </w:r>
      <w:r w:rsidR="00D34B5C" w:rsidRPr="00D34B5C">
        <w:t>(2012)</w:t>
      </w:r>
      <w:r w:rsidR="009D75FA">
        <w:fldChar w:fldCharType="end"/>
      </w:r>
      <w:r w:rsidRPr="00D2345D">
        <w:t>. Microbial sequence data were demultiplexed, binned into sequence variants, given putative taxonomic identities, phylogenetic relationships between the sequences were ascertained and taxonomic clustering was ca</w:t>
      </w:r>
      <w:r w:rsidR="008423A1">
        <w:t xml:space="preserve">rried out on those identities </w:t>
      </w:r>
      <w:r w:rsidRPr="00D2345D">
        <w:t xml:space="preserve">(Supplement). </w:t>
      </w:r>
    </w:p>
    <w:p w14:paraId="6462D048" w14:textId="77777777" w:rsidR="00D2345D" w:rsidRPr="00D2345D" w:rsidRDefault="00D2345D" w:rsidP="00F617A6">
      <w:pPr>
        <w:pStyle w:val="Heading2"/>
        <w:rPr>
          <w:rFonts w:ascii="Times New Roman" w:hAnsi="Times New Roman" w:cs="Times New Roman"/>
          <w:b/>
          <w:bCs/>
          <w:sz w:val="36"/>
          <w:szCs w:val="36"/>
        </w:rPr>
      </w:pPr>
      <w:r w:rsidRPr="00D2345D">
        <w:t>Analysis of microbial community structure and its relationship to vaccine-induced antibody production</w:t>
      </w:r>
    </w:p>
    <w:p w14:paraId="3DDD3A84" w14:textId="77777777" w:rsidR="00D2345D" w:rsidRPr="00D2345D" w:rsidRDefault="00D2345D" w:rsidP="00211BCA">
      <w:pPr>
        <w:rPr>
          <w:sz w:val="24"/>
          <w:szCs w:val="24"/>
        </w:rPr>
      </w:pPr>
      <w:r w:rsidRPr="00D2345D">
        <w:t>A two-tiered approach was used to investigate the relationship between microbial community structure and immune responses. We employed “global” tests that identified whether overa</w:t>
      </w:r>
      <w:r w:rsidR="008423A1">
        <w:t xml:space="preserve">ll community structure related </w:t>
      </w:r>
      <w:r w:rsidRPr="00D2345D">
        <w:t xml:space="preserve">to each immunological measurement and “local” tests, conditional on a significant global effect, to identify individual bacterial taxa underlying the effect. </w:t>
      </w:r>
    </w:p>
    <w:p w14:paraId="6B1AA40E" w14:textId="541BDC7F" w:rsidR="00D2345D" w:rsidRPr="00D2345D" w:rsidRDefault="00D2345D" w:rsidP="00211BCA">
      <w:pPr>
        <w:rPr>
          <w:sz w:val="24"/>
          <w:szCs w:val="24"/>
        </w:rPr>
      </w:pPr>
      <w:r w:rsidRPr="00D2345D">
        <w:t>To describe microbial community variability, weighted UniFrac distance was calculated between all pairs of participants. Principal coordinates analysis was conducted on these weighted UniFrac distances and site scores for each axis thereof were extracted. We refer to the first ten of these weighted UniFrac principal coordinate axes as MDS1-10 and use MDS1 in much of our subsequent analysis. Global patterns were identified with kernel regression</w:t>
      </w:r>
      <w:r w:rsidR="009D75FA">
        <w:t xml:space="preserve"> </w:t>
      </w:r>
      <w:r w:rsidR="009D75FA">
        <w:fldChar w:fldCharType="begin"/>
      </w:r>
      <w:r w:rsidR="00D34B5C">
        <w:instrText xml:space="preserve"> ADDIN ZOTERO_ITEM CSL_CITATION {"citationID":"rQkWuv8U","properties":{"formattedCitation":"(Zhao et al., 2015)","plainCitation":"(Zhao et al., 2015)","noteIndex":0},"citationItems":[{"id":4303,"uris":["http://zotero.org/groups/1167044/items/BSITLLIW"],"uri":["http://zotero.org/groups/1167044/items/BSITLLIW"],"itemData":{"id":4303,"type":"article-journal","title":"Testing in Microbiome-Profiling Studies with MiRKAT, the Microbiome Regression-Based Kernel Association Test","container-title":"American Journal of Human Genetics","page":"797-807","volume":"96","issue":"5","source":"PubMed Central","abstract":"High-throughput sequencing technology has enabled population-based studies of the role of the human microbiome in disease etiology and exposure response. Distance-based analysis is a popular strategy for evaluating the overall association between microbiome diversity and outcome, wherein the phylogenetic distance between individuals’ microbiome profiles is computed and tested for association via permutation. Despite their practical popularity, distance-based approaches suffer from important challenges, especially in selecting the best distance and extending the methods to alternative outcomes, such as survival outcomes. We propose the microbiome regression-based kernel association test (MiRKAT), which directly regresses the outcome on the microbiome profiles via the semi-parametric kernel machine regression framework. MiRKAT allows for easy covariate adjustment and extension to alternative outcomes while non-parametrically modeling the microbiome through a kernel that incorporates phylogenetic distance. It uses a variance-component score statistic to test for the association with analytical p value calculation. The model also allows simultaneous examination of multiple distances, alleviating the problem of choosing the best distance. Our simulations demonstrated that MiRKAT provides correctly controlled type I error and adequate power in detecting overall association. “Optimal” MiRKAT, which considers multiple candidate distances, is robust in that it suffers from little power loss in comparison to when the best distance is used and can achieve tremendous power gain in comparison to when a poor distance is chosen. Finally, we applied MiRKAT to real microbiome datasets to show that microbial communities are associated with smoking and with fecal protease levels after confounders are controlled for.","DOI":"10.1016/j.ajhg.2015.04.003","ISSN":"0002-9297","note":"PMID: 25957468\nPMCID: PMC4570290","journalAbbreviation":"Am J Hum Genet","author":[{"family":"Zhao","given":"Ni"},{"family":"Chen","given":"Jun"},{"family":"Carroll","given":"Ian M."},{"family":"Ringel-Kulka","given":"Tamar"},{"family":"Epstein","given":"Michael P."},{"family":"Zhou","given":"Hua"},{"family":"Zhou","given":"Jin J."},{"family":"Ringel","given":"Yehuda"},{"family":"Li","given":"Hongzhe"},{"family":"Wu","given":"Michael C."}],"issued":{"date-parts":[["2015",5,7]]}}}],"schema":"https://github.com/citation-style-language/schema/raw/master/csl-citation.json"} </w:instrText>
      </w:r>
      <w:r w:rsidR="009D75FA">
        <w:fldChar w:fldCharType="separate"/>
      </w:r>
      <w:r w:rsidR="00D34B5C" w:rsidRPr="00D34B5C">
        <w:t>(Zhao et al., 2015)</w:t>
      </w:r>
      <w:r w:rsidR="009D75FA">
        <w:fldChar w:fldCharType="end"/>
      </w:r>
      <w:r w:rsidRPr="00D2345D">
        <w:t xml:space="preserve"> which detected community-level associations between the microbiota and immune</w:t>
      </w:r>
      <w:r w:rsidR="00A042CA">
        <w:t xml:space="preserve"> measurements</w:t>
      </w:r>
      <w:r w:rsidRPr="00D2345D">
        <w:t xml:space="preserve"> (Supplement). For those immunological </w:t>
      </w:r>
      <w:r w:rsidRPr="00D2345D">
        <w:lastRenderedPageBreak/>
        <w:t>variables that associated with microbial community structure, local tests were applied to identify which taxa were related to each component (Supplement). Analysis of proportionality was applied to identify co-occurring microbial family level taxonomic groups, as well as to identify which of these family level groups associated with each immunologic variable found to relate to community structure in the global tests (Supplement).</w:t>
      </w:r>
    </w:p>
    <w:p w14:paraId="78149F93" w14:textId="77777777" w:rsidR="00D2345D" w:rsidRPr="00D2345D" w:rsidRDefault="00D2345D" w:rsidP="00211BCA"/>
    <w:p w14:paraId="4A3AB939" w14:textId="77777777" w:rsidR="00D2345D" w:rsidRPr="00F617A6" w:rsidRDefault="00D2345D" w:rsidP="00F617A6">
      <w:pPr>
        <w:pStyle w:val="Heading1"/>
      </w:pPr>
      <w:r w:rsidRPr="00F617A6">
        <w:t>Results</w:t>
      </w:r>
    </w:p>
    <w:p w14:paraId="49E08C0F" w14:textId="77777777" w:rsidR="00D2345D" w:rsidRPr="00D2345D" w:rsidRDefault="00D2345D" w:rsidP="00F617A6">
      <w:pPr>
        <w:pStyle w:val="Heading2"/>
        <w:rPr>
          <w:rFonts w:ascii="Times New Roman" w:hAnsi="Times New Roman" w:cs="Times New Roman"/>
          <w:b/>
          <w:bCs/>
          <w:sz w:val="36"/>
          <w:szCs w:val="36"/>
        </w:rPr>
      </w:pPr>
      <w:r w:rsidRPr="00D2345D">
        <w:t>Heterogeneous immune responses before and after vaccination</w:t>
      </w:r>
    </w:p>
    <w:p w14:paraId="4669F8CF" w14:textId="24912D60" w:rsidR="002E0BB8" w:rsidRDefault="002E0BB8" w:rsidP="002E0BB8">
      <w:r>
        <w:t>As was seen by Pantaleo et al. (In prep), Con 6 Gp120, zm96_v1v2 and gp140 binding IgG antibodies were undetectable among all participants at day 0. Relative to baseline, responses to each antigen were increased at month 6.5, two weeks after the final vaccination. Responses decreased to an intermediate level 6 months after that</w:t>
      </w:r>
      <w:r w:rsidR="00D64614">
        <w:t xml:space="preserve"> (month 12)</w:t>
      </w:r>
      <w:r>
        <w:t xml:space="preserve">. There was substantial variability between participants both in the magnitude of the </w:t>
      </w:r>
      <w:r w:rsidR="00D64614">
        <w:t xml:space="preserve">6.5-month </w:t>
      </w:r>
      <w:r>
        <w:t xml:space="preserve">and final time point response. In contrast, gp41 and p24 binding IgG antibodies were variable and detectable at day 0. Binding was increased at the </w:t>
      </w:r>
      <w:r w:rsidR="00D64614">
        <w:t>6.5-month</w:t>
      </w:r>
      <w:r>
        <w:t xml:space="preserve"> time</w:t>
      </w:r>
      <w:r w:rsidR="00D64614">
        <w:t xml:space="preserve"> point, and decreased by the 12-</w:t>
      </w:r>
      <w:r>
        <w:t xml:space="preserve">month time point (Figure 1, Figure S1A). IgA gp41 and p24 antibodies varied substantially between participants at baseline and increased less and more variably in response to vaccination than did the IgG versions of those same antibodies (Figure S1B). CD4+ T cells specific to HIV </w:t>
      </w:r>
      <w:proofErr w:type="spellStart"/>
      <w:r>
        <w:t>Env</w:t>
      </w:r>
      <w:proofErr w:type="spellEnd"/>
      <w:r>
        <w:t xml:space="preserve"> protein, like IgGs</w:t>
      </w:r>
      <w:r w:rsidR="008C575E">
        <w:t>,</w:t>
      </w:r>
      <w:r>
        <w:t xml:space="preserve"> showed increa</w:t>
      </w:r>
      <w:r w:rsidR="00D64614">
        <w:t>se between the baseline and 6.5-</w:t>
      </w:r>
      <w:r>
        <w:t>month time-point, and some attenuation</w:t>
      </w:r>
      <w:r w:rsidR="00D64614">
        <w:t xml:space="preserve"> in many participants by the 12-</w:t>
      </w:r>
      <w:r>
        <w:t>month time-point (Figure S1B).</w:t>
      </w:r>
    </w:p>
    <w:p w14:paraId="6A7B0379" w14:textId="77777777" w:rsidR="00D2345D" w:rsidRPr="00D2345D" w:rsidRDefault="00D2345D" w:rsidP="00F617A6">
      <w:pPr>
        <w:pStyle w:val="Heading2"/>
        <w:rPr>
          <w:rFonts w:ascii="Times New Roman" w:hAnsi="Times New Roman" w:cs="Times New Roman"/>
          <w:b/>
          <w:bCs/>
          <w:sz w:val="36"/>
          <w:szCs w:val="36"/>
        </w:rPr>
      </w:pPr>
      <w:r w:rsidRPr="00D2345D">
        <w:t>Heterogeneity in gut microbiota community structure</w:t>
      </w:r>
    </w:p>
    <w:p w14:paraId="0C4136D7" w14:textId="34225709" w:rsidR="00D2345D" w:rsidRPr="00D2345D" w:rsidRDefault="00D2345D" w:rsidP="00211BCA">
      <w:pPr>
        <w:rPr>
          <w:sz w:val="24"/>
          <w:szCs w:val="24"/>
        </w:rPr>
      </w:pPr>
      <w:r w:rsidRPr="00D2345D">
        <w:t>Microbiome sequencing of participant baseline rectal wecks (day 0) generated 2100 to 10843 16S rRNA V3-V4 reads per sample. Quality filtering, denoising and chimera removal decreased the number of reads only slightly, to a final range of 2070-9688 sequences per sample, suggesting that the reads were generally of high quality.</w:t>
      </w:r>
      <w:r w:rsidR="00F2126E">
        <w:t xml:space="preserve"> DADA2 called 960 unique SVs.</w:t>
      </w:r>
      <w:r w:rsidRPr="00D2345D">
        <w:t xml:space="preserve"> After </w:t>
      </w:r>
      <w:r w:rsidR="00F2126E" w:rsidRPr="00D2345D">
        <w:t>processing,</w:t>
      </w:r>
      <w:r w:rsidRPr="00D2345D">
        <w:t xml:space="preserve"> there were 536 unique </w:t>
      </w:r>
      <w:r w:rsidR="00A042CA">
        <w:t>SVs</w:t>
      </w:r>
      <w:r w:rsidRPr="00D2345D">
        <w:t xml:space="preserve">. Agglomeration yielded </w:t>
      </w:r>
      <w:proofErr w:type="gramStart"/>
      <w:r w:rsidRPr="00D2345D">
        <w:t>5</w:t>
      </w:r>
      <w:proofErr w:type="gramEnd"/>
      <w:r w:rsidRPr="00D2345D">
        <w:t xml:space="preserve"> Phyla, 12 Classes, 17 Orders, 36 Families and 92 Genus level taxonomic groups. Principal coordinates analysis of weighted UniFrac distance indicated that 29.1% and 16.9% of the community structure variability was captured by the first and second (MDS1 and MDS2) principal </w:t>
      </w:r>
      <w:r w:rsidRPr="00D2345D">
        <w:lastRenderedPageBreak/>
        <w:t>coordinate axes (Figure 2). We used samples’ locations along MDS1 to help simplify and aid visualization of community structure.</w:t>
      </w:r>
    </w:p>
    <w:p w14:paraId="3CE18F93" w14:textId="29F7AB04" w:rsidR="00D2345D" w:rsidRPr="00D2345D" w:rsidRDefault="00D2345D" w:rsidP="00211BCA">
      <w:pPr>
        <w:rPr>
          <w:sz w:val="24"/>
          <w:szCs w:val="24"/>
        </w:rPr>
      </w:pPr>
      <w:r w:rsidRPr="00D2345D">
        <w:t xml:space="preserve">The participants in our dataset had microbiota broadly typical of the human gut, with most participants’ microbiota dominated by members of the </w:t>
      </w:r>
      <w:proofErr w:type="spellStart"/>
      <w:r w:rsidRPr="00D2345D">
        <w:t>Bacteroidetes</w:t>
      </w:r>
      <w:proofErr w:type="spellEnd"/>
      <w:r w:rsidRPr="00D2345D">
        <w:t xml:space="preserve"> and </w:t>
      </w:r>
      <w:proofErr w:type="spellStart"/>
      <w:r w:rsidRPr="00D2345D">
        <w:t>Firmicutes</w:t>
      </w:r>
      <w:proofErr w:type="spellEnd"/>
      <w:r w:rsidRPr="00D2345D">
        <w:t xml:space="preserve"> phyla, and some members having strong representation from the </w:t>
      </w:r>
      <w:proofErr w:type="spellStart"/>
      <w:r w:rsidRPr="00D2345D">
        <w:t>Actinobacteria</w:t>
      </w:r>
      <w:proofErr w:type="spellEnd"/>
      <w:r w:rsidRPr="00D2345D">
        <w:t xml:space="preserve"> and </w:t>
      </w:r>
      <w:proofErr w:type="spellStart"/>
      <w:r w:rsidRPr="00D2345D">
        <w:t>Fusobacteria</w:t>
      </w:r>
      <w:proofErr w:type="spellEnd"/>
      <w:r w:rsidRPr="00D2345D">
        <w:t xml:space="preserve"> phyla and the </w:t>
      </w:r>
      <w:proofErr w:type="spellStart"/>
      <w:r w:rsidRPr="00D2345D">
        <w:t>Proteobacteria</w:t>
      </w:r>
      <w:proofErr w:type="spellEnd"/>
      <w:r w:rsidRPr="00D2345D">
        <w:t xml:space="preserve"> </w:t>
      </w:r>
      <w:proofErr w:type="spellStart"/>
      <w:r w:rsidRPr="00D2345D">
        <w:t>Superphylum</w:t>
      </w:r>
      <w:proofErr w:type="spellEnd"/>
      <w:r w:rsidRPr="00D2345D">
        <w:t xml:space="preserve"> (Figure 3A). The </w:t>
      </w:r>
      <w:proofErr w:type="spellStart"/>
      <w:r w:rsidRPr="00D2345D">
        <w:t>Firmicutes</w:t>
      </w:r>
      <w:proofErr w:type="spellEnd"/>
      <w:r w:rsidRPr="00D2345D">
        <w:t xml:space="preserve"> </w:t>
      </w:r>
      <w:r w:rsidR="00A042CA">
        <w:t>p</w:t>
      </w:r>
      <w:r w:rsidRPr="00D2345D">
        <w:t xml:space="preserve">hylum was generally dominated by </w:t>
      </w:r>
      <w:r w:rsidR="00A042CA">
        <w:t>c</w:t>
      </w:r>
      <w:r w:rsidRPr="00D2345D">
        <w:t xml:space="preserve">lass Clostridia, which was in turn comprised entirely of the order Clostridiales. By arranging participants by their weighted UniFrac </w:t>
      </w:r>
      <w:proofErr w:type="spellStart"/>
      <w:r w:rsidRPr="00D2345D">
        <w:t>PCoA</w:t>
      </w:r>
      <w:proofErr w:type="spellEnd"/>
      <w:r w:rsidRPr="00D2345D">
        <w:t xml:space="preserve"> MDS1 score (hereafter MDS1 score)</w:t>
      </w:r>
      <w:proofErr w:type="gramStart"/>
      <w:r w:rsidRPr="00D2345D">
        <w:t>,</w:t>
      </w:r>
      <w:proofErr w:type="gramEnd"/>
      <w:r w:rsidRPr="00D2345D">
        <w:t xml:space="preserve"> we observed that the participants with low MDS1 scores had Clostridiales communities dominated by the </w:t>
      </w:r>
      <w:proofErr w:type="spellStart"/>
      <w:r w:rsidRPr="00D2345D">
        <w:t>Ruminococcaceae</w:t>
      </w:r>
      <w:proofErr w:type="spellEnd"/>
      <w:r w:rsidRPr="00D2345D">
        <w:t xml:space="preserve"> and </w:t>
      </w:r>
      <w:proofErr w:type="spellStart"/>
      <w:r w:rsidRPr="00D2345D">
        <w:t>Peptoniphilaceae</w:t>
      </w:r>
      <w:proofErr w:type="spellEnd"/>
      <w:r w:rsidRPr="00D2345D">
        <w:t xml:space="preserve"> Families, while participants with high MDS1 scores had higher levels of Clostridiales </w:t>
      </w:r>
      <w:proofErr w:type="spellStart"/>
      <w:r w:rsidRPr="00D2345D">
        <w:t>Incertae</w:t>
      </w:r>
      <w:proofErr w:type="spellEnd"/>
      <w:r w:rsidRPr="00D2345D">
        <w:t xml:space="preserve"> </w:t>
      </w:r>
      <w:proofErr w:type="spellStart"/>
      <w:r w:rsidRPr="00D2345D">
        <w:t>Sedis</w:t>
      </w:r>
      <w:proofErr w:type="spellEnd"/>
      <w:r w:rsidRPr="00D2345D">
        <w:t xml:space="preserve"> XI (Figure 3B). These Clostridiales </w:t>
      </w:r>
      <w:proofErr w:type="spellStart"/>
      <w:r w:rsidRPr="00D2345D">
        <w:t>Incertae</w:t>
      </w:r>
      <w:proofErr w:type="spellEnd"/>
      <w:r w:rsidRPr="00D2345D">
        <w:t xml:space="preserve"> </w:t>
      </w:r>
      <w:proofErr w:type="spellStart"/>
      <w:r w:rsidRPr="00D2345D">
        <w:t>Sedis</w:t>
      </w:r>
      <w:proofErr w:type="spellEnd"/>
      <w:r w:rsidRPr="00D2345D">
        <w:t xml:space="preserve"> XI were primarily composed of six genera. The relative contributions of these genera to Clostridiales </w:t>
      </w:r>
      <w:proofErr w:type="spellStart"/>
      <w:r w:rsidRPr="00D2345D">
        <w:t>Incertae</w:t>
      </w:r>
      <w:proofErr w:type="spellEnd"/>
      <w:r w:rsidRPr="00D2345D">
        <w:t xml:space="preserve"> </w:t>
      </w:r>
      <w:proofErr w:type="spellStart"/>
      <w:r w:rsidRPr="00D2345D">
        <w:t>Sedis</w:t>
      </w:r>
      <w:proofErr w:type="spellEnd"/>
      <w:r w:rsidRPr="00D2345D">
        <w:t xml:space="preserve"> XI did not themselves appear qualitatively associated with MDS1 score (Figure 3C). Of the </w:t>
      </w:r>
      <w:proofErr w:type="spellStart"/>
      <w:r w:rsidRPr="00D2345D">
        <w:t>Bacteroidetes</w:t>
      </w:r>
      <w:proofErr w:type="spellEnd"/>
      <w:r w:rsidRPr="00D2345D">
        <w:t xml:space="preserve"> seen in this dataset, most were from Class </w:t>
      </w:r>
      <w:proofErr w:type="spellStart"/>
      <w:r w:rsidRPr="00D2345D">
        <w:t>Bacteroidia</w:t>
      </w:r>
      <w:proofErr w:type="spellEnd"/>
      <w:r w:rsidRPr="00D2345D">
        <w:t xml:space="preserve"> and all of those </w:t>
      </w:r>
      <w:proofErr w:type="spellStart"/>
      <w:r w:rsidRPr="00D2345D">
        <w:t>Bacteroidia</w:t>
      </w:r>
      <w:proofErr w:type="spellEnd"/>
      <w:r w:rsidRPr="00D2345D">
        <w:t xml:space="preserve"> were from order </w:t>
      </w:r>
      <w:proofErr w:type="spellStart"/>
      <w:r w:rsidRPr="00D2345D">
        <w:t>Bacteroidales</w:t>
      </w:r>
      <w:proofErr w:type="spellEnd"/>
      <w:r w:rsidRPr="00D2345D">
        <w:t xml:space="preserve">. The remainder of </w:t>
      </w:r>
      <w:proofErr w:type="spellStart"/>
      <w:r w:rsidRPr="00D2345D">
        <w:t>Bacteroidetes</w:t>
      </w:r>
      <w:proofErr w:type="spellEnd"/>
      <w:r w:rsidRPr="00D2345D">
        <w:t xml:space="preserve"> were from a small subset of otherwise unidentified organisms. When sorted by weighted UniFrac axis one, it was evident that participants with low MDS1 scores generally had higher levels of the Family </w:t>
      </w:r>
      <w:proofErr w:type="spellStart"/>
      <w:r w:rsidRPr="00D2345D">
        <w:t>Bacteroidaceae</w:t>
      </w:r>
      <w:proofErr w:type="spellEnd"/>
      <w:r w:rsidRPr="00D2345D">
        <w:t xml:space="preserve">, while participants with higher MDS1 scores tended to have higher concentrations of the family </w:t>
      </w:r>
      <w:proofErr w:type="spellStart"/>
      <w:r w:rsidRPr="00D2345D">
        <w:t>Prevotellaceae</w:t>
      </w:r>
      <w:proofErr w:type="spellEnd"/>
      <w:r w:rsidRPr="00D2345D">
        <w:t xml:space="preserve"> (Figure 3D). Analysis of proportionality indicated that, at the family level, there were groups of organisms that were all proportional with each other (Figure 4), indicating co-occurrence structure in our dataset.</w:t>
      </w:r>
    </w:p>
    <w:p w14:paraId="344DE075" w14:textId="77777777" w:rsidR="00D2345D" w:rsidRPr="00D2345D" w:rsidRDefault="00D2345D" w:rsidP="00F617A6">
      <w:pPr>
        <w:pStyle w:val="Heading2"/>
        <w:rPr>
          <w:rFonts w:ascii="Times New Roman" w:hAnsi="Times New Roman" w:cs="Times New Roman"/>
          <w:b/>
          <w:bCs/>
          <w:sz w:val="36"/>
          <w:szCs w:val="36"/>
        </w:rPr>
      </w:pPr>
      <w:r w:rsidRPr="00D2345D">
        <w:t xml:space="preserve">Microbe community structure associated with </w:t>
      </w:r>
      <w:proofErr w:type="spellStart"/>
      <w:r w:rsidRPr="00D2345D">
        <w:t>Env</w:t>
      </w:r>
      <w:proofErr w:type="spellEnd"/>
      <w:r w:rsidRPr="00D2345D">
        <w:t>-reactive IgG</w:t>
      </w:r>
    </w:p>
    <w:p w14:paraId="2AA8AB1E" w14:textId="5C376439" w:rsidR="002E0BB8" w:rsidRPr="002E0BB8" w:rsidRDefault="002E0BB8" w:rsidP="002E0BB8">
      <w:pPr>
        <w:rPr>
          <w:color w:val="auto"/>
          <w:sz w:val="24"/>
          <w:szCs w:val="24"/>
        </w:rPr>
      </w:pPr>
      <w:r w:rsidRPr="002E0BB8">
        <w:t xml:space="preserve">We used kernel regression to identify associations between microbial community structure and each immune response measurement. In the analysis, we used weighted UniFrac to measure the pairwise distances between every participant’s microbiota </w:t>
      </w:r>
      <w:proofErr w:type="gramStart"/>
      <w:r w:rsidRPr="002E0BB8">
        <w:t>composition</w:t>
      </w:r>
      <w:proofErr w:type="gramEnd"/>
      <w:r w:rsidRPr="002E0BB8">
        <w:t xml:space="preserve">. Kernel regression tests for an association between those pairwise distances and pairwise differences in the immune response. Of all the immune responses measured at baseline, there was only detectable variability in gp41- and p24-reactive IgG and IgA binding.  Of these we found that only baseline levels of gp41-reactive IgG were significantly associated with the microbial community structure (P = 0.047; Q = 0.160, Table 1, Figure 2). As a descriptive follow-up </w:t>
      </w:r>
      <w:r w:rsidR="00524558" w:rsidRPr="002E0BB8">
        <w:t>analysis,</w:t>
      </w:r>
      <w:r w:rsidRPr="002E0BB8">
        <w:t xml:space="preserve"> we also evaluated the association between gp41 binding at baseline and MDS1, the first principal coordinate axis of community structure variability. The benefit of using MDS1 in this way is that it can provide an estimate of magnitude and direction of the association. We found that </w:t>
      </w:r>
      <w:r w:rsidRPr="002E0BB8">
        <w:lastRenderedPageBreak/>
        <w:t xml:space="preserve">participants with a high MDS1 score tended to have higher gp41 binding (P = 0.015, Q = 0.007; Table 1, Figure 2). Post-vaccine levels of gp41-reactive IgG at M6.5 were also associated with community structure (P = 0.048, Q =0.160). However, compared to baseline gp41, the association of M6.5 gp41 binding with MDS1 was in the opposite direction, with participants having high MDS1 scores tending to have lower gp41 binding (P = 0.032, Q = 0.013). At the post-vaccination time </w:t>
      </w:r>
      <w:r w:rsidR="00524558" w:rsidRPr="002E0BB8">
        <w:t>points,</w:t>
      </w:r>
      <w:r w:rsidRPr="002E0BB8">
        <w:t xml:space="preserve"> we also assessed the associations of several additional HIV-1 </w:t>
      </w:r>
      <w:proofErr w:type="spellStart"/>
      <w:r w:rsidRPr="002E0BB8">
        <w:t>Env</w:t>
      </w:r>
      <w:proofErr w:type="spellEnd"/>
      <w:r w:rsidRPr="002E0BB8">
        <w:t xml:space="preserve"> antigens. We found that </w:t>
      </w:r>
      <w:r w:rsidR="00793099">
        <w:t xml:space="preserve">month </w:t>
      </w:r>
      <w:r w:rsidRPr="002E0BB8">
        <w:t>6.5 levels of Con6.gp120 and ZM96.gp140 were significantly associated wi</w:t>
      </w:r>
      <w:r w:rsidR="00793099">
        <w:t>th community structure (gp120: P</w:t>
      </w:r>
      <w:r w:rsidRPr="002E0BB8">
        <w:t xml:space="preserve"> =0.004, </w:t>
      </w:r>
      <w:r w:rsidR="00793099">
        <w:t>Q</w:t>
      </w:r>
      <w:r w:rsidRPr="002E0BB8">
        <w:t xml:space="preserve"> =0.073; gp140: </w:t>
      </w:r>
      <w:r w:rsidR="00793099">
        <w:t>P</w:t>
      </w:r>
      <w:r w:rsidRPr="002E0BB8">
        <w:t xml:space="preserve"> = 0.014, </w:t>
      </w:r>
      <w:r w:rsidR="00793099">
        <w:t>Q</w:t>
      </w:r>
      <w:r w:rsidRPr="002E0BB8">
        <w:t xml:space="preserve"> = 0.009). Binding to Con6.gp120 and gp70_B.CaseA_V1_V2 antigens was also associated with community structure at the M12.5 durability time</w:t>
      </w:r>
      <w:r w:rsidR="00793099">
        <w:t>-</w:t>
      </w:r>
      <w:r w:rsidRPr="002E0BB8">
        <w:t xml:space="preserve">point. For each association of a post-vaccination </w:t>
      </w:r>
      <w:proofErr w:type="spellStart"/>
      <w:r w:rsidRPr="002E0BB8">
        <w:t>Env</w:t>
      </w:r>
      <w:proofErr w:type="spellEnd"/>
      <w:r w:rsidRPr="002E0BB8">
        <w:t xml:space="preserve">-reactive IgG we found that participants with higher MDS1 scores tended to have lower </w:t>
      </w:r>
      <w:proofErr w:type="spellStart"/>
      <w:r w:rsidRPr="002E0BB8">
        <w:t>Env</w:t>
      </w:r>
      <w:proofErr w:type="spellEnd"/>
      <w:r w:rsidRPr="002E0BB8">
        <w:t xml:space="preserve">-specific IgG while those with lower MDS1 scores had higher </w:t>
      </w:r>
      <w:proofErr w:type="spellStart"/>
      <w:r w:rsidRPr="002E0BB8">
        <w:t>Env</w:t>
      </w:r>
      <w:proofErr w:type="spellEnd"/>
      <w:r w:rsidRPr="002E0BB8">
        <w:t>-specific IgG. Neither the CD4+ envelope specific T cell pool, nor any of the IgA measurements were related to community structure using the aforementioned methods.</w:t>
      </w:r>
    </w:p>
    <w:p w14:paraId="23B963BC" w14:textId="77777777" w:rsidR="002E0BB8" w:rsidRPr="002E0BB8" w:rsidRDefault="002E0BB8" w:rsidP="002E0BB8">
      <w:pPr>
        <w:rPr>
          <w:color w:val="auto"/>
          <w:sz w:val="24"/>
          <w:szCs w:val="24"/>
        </w:rPr>
      </w:pPr>
      <w:r w:rsidRPr="002E0BB8">
        <w:t>Treating immune data as a continuous, box-cox transformed, rather than median split variable showed similar though generally less statistically significant patterns. One notable exception was IgG antibodies to Con.6.gp120B which showed a much stronger association (p&lt;0.001 q &lt; 0.01) when treated as a continuous, rather than binary variable (Table S1).</w:t>
      </w:r>
    </w:p>
    <w:p w14:paraId="1A33E1DD" w14:textId="77777777" w:rsidR="00D2345D" w:rsidRPr="00F617A6" w:rsidRDefault="00D2345D" w:rsidP="00F617A6">
      <w:pPr>
        <w:pStyle w:val="Heading2"/>
      </w:pPr>
      <w:r w:rsidRPr="00F617A6">
        <w:t>Jensen-Shannon distances were not associated with immune responses without taxonomic agglomeration</w:t>
      </w:r>
    </w:p>
    <w:p w14:paraId="536CA876" w14:textId="77777777" w:rsidR="00D2345D" w:rsidRPr="00D2345D" w:rsidRDefault="00D2345D" w:rsidP="00211BCA">
      <w:pPr>
        <w:rPr>
          <w:sz w:val="24"/>
          <w:szCs w:val="24"/>
        </w:rPr>
      </w:pPr>
      <w:r w:rsidRPr="00D2345D">
        <w:t xml:space="preserve">As a secondary </w:t>
      </w:r>
      <w:r w:rsidR="00524558" w:rsidRPr="00D2345D">
        <w:t>analysis,</w:t>
      </w:r>
      <w:r w:rsidRPr="00D2345D">
        <w:t xml:space="preserve"> we considered using a Jensen-Shannon (JS) distance instead of weighted UniFrac: a major difference is that a Jensen-Shannon distance considers each sequence variant (SV) independently, ignoring phylogenetic relationships. Applying the JS distance to species-level </w:t>
      </w:r>
      <w:proofErr w:type="gramStart"/>
      <w:r w:rsidRPr="00D2345D">
        <w:t>SVs</w:t>
      </w:r>
      <w:proofErr w:type="gramEnd"/>
      <w:r w:rsidRPr="00D2345D">
        <w:t xml:space="preserve"> we found no associations with immune responses (Figure S2). We then agglomerated SVs at different taxonomic levels (Supplement) and performed kernel regression analysis on the Jensen-Shannon distance of these agglomerated groups. Significant associations between the Phylum - Genus level taxa and many of immune variables were evident. Omnibus p-values provided an aggregate of the p-values of many associations and generally provided p-values that were similar to, but slightly higher tha</w:t>
      </w:r>
      <w:r w:rsidR="00524558">
        <w:t>n, the results of the weighted UniF</w:t>
      </w:r>
      <w:r w:rsidRPr="00D2345D">
        <w:t xml:space="preserve">rac based kernel regression. This analysis showed that, in the absence of UniFrac’s ability to incorporate phylogenetic information, agglomeration was necessary to see patterns. That is, we detected no relationship between species level SVs and immunologic parameters when we did not consider their phylogenetic relationships. In contrast, when we did consider phylogeny though the </w:t>
      </w:r>
      <w:r w:rsidRPr="00D2345D">
        <w:lastRenderedPageBreak/>
        <w:t>previously described weighted UniFrac methods or by binning SVs, relationships between community structure and vaccine response became evident.</w:t>
      </w:r>
    </w:p>
    <w:p w14:paraId="0A879428" w14:textId="77777777" w:rsidR="00D2345D" w:rsidRPr="00D2345D" w:rsidRDefault="00D2345D" w:rsidP="00F617A6">
      <w:pPr>
        <w:pStyle w:val="Heading2"/>
        <w:rPr>
          <w:rFonts w:ascii="Times New Roman" w:hAnsi="Times New Roman" w:cs="Times New Roman"/>
          <w:b/>
          <w:bCs/>
          <w:sz w:val="36"/>
          <w:szCs w:val="36"/>
        </w:rPr>
      </w:pPr>
      <w:bookmarkStart w:id="0" w:name="_Ref513729992"/>
      <w:r w:rsidRPr="00D2345D">
        <w:t>Individual taxonomic groups were associated with gp41 and gp120-reactive IgG binding</w:t>
      </w:r>
      <w:bookmarkEnd w:id="0"/>
    </w:p>
    <w:p w14:paraId="0E4B7B7B" w14:textId="235B95FA" w:rsidR="00D2345D" w:rsidRDefault="00D2345D" w:rsidP="00211BCA">
      <w:r w:rsidRPr="00D2345D">
        <w:t xml:space="preserve">“Local” linear regressions of each species level SV against each </w:t>
      </w:r>
      <w:proofErr w:type="spellStart"/>
      <w:r w:rsidRPr="00D2345D">
        <w:t>each</w:t>
      </w:r>
      <w:proofErr w:type="spellEnd"/>
      <w:r w:rsidRPr="00D2345D">
        <w:t xml:space="preserve"> IgG that showed a statistically significant global trend after q-value correction </w:t>
      </w:r>
      <w:r w:rsidR="00793099">
        <w:t>showed that</w:t>
      </w:r>
      <w:r w:rsidRPr="00D2345D">
        <w:t xml:space="preserve"> no species level group associated with any specific IgG. In contrast, with taxonomic agglomeration, it was evident that each IgG was associated with multiple taxa at each of several taxonomic levels. All IgG measurement-time point combinations that were statistically associated with the overall community, according to global tests, were also associated with some family level taxa (q&lt;0.2, p&lt; 0.05). Thus, for our subsequent analyses, we focus on family level patterns.</w:t>
      </w:r>
    </w:p>
    <w:p w14:paraId="00CCD2F6" w14:textId="3CEC8B3A" w:rsidR="00D2345D" w:rsidRPr="00D2345D" w:rsidRDefault="00D2345D" w:rsidP="00211BCA">
      <w:pPr>
        <w:rPr>
          <w:sz w:val="24"/>
          <w:szCs w:val="24"/>
        </w:rPr>
      </w:pPr>
      <w:r w:rsidRPr="00D2345D">
        <w:t>Analysis of proportionality showed that, at the family level there were three main co-occurring family level proportional clusters in this dataset (Figure 4). One proportional clus</w:t>
      </w:r>
      <w:r w:rsidR="00320C56">
        <w:t xml:space="preserve">ter contained families </w:t>
      </w:r>
      <w:r w:rsidR="00320C56" w:rsidRPr="00D2345D">
        <w:t xml:space="preserve">that were positively associated with gp41 day </w:t>
      </w:r>
      <w:proofErr w:type="gramStart"/>
      <w:r w:rsidR="00320C56" w:rsidRPr="00D2345D">
        <w:t>0</w:t>
      </w:r>
      <w:proofErr w:type="gramEnd"/>
      <w:r w:rsidR="00320C56" w:rsidRPr="00D2345D">
        <w:t xml:space="preserve"> responses</w:t>
      </w:r>
      <w:r w:rsidR="00320C56">
        <w:t xml:space="preserve">. This cluster contained one family level group named “Clostridia” in Figure 4 because it contains multiple taxa from the Clostridia class, and which included organisms from family Clostridiales </w:t>
      </w:r>
      <w:proofErr w:type="spellStart"/>
      <w:r w:rsidR="00320C56">
        <w:t>Incertae</w:t>
      </w:r>
      <w:proofErr w:type="spellEnd"/>
      <w:r w:rsidR="00320C56">
        <w:t xml:space="preserve"> XI. It also contained a family level group “</w:t>
      </w:r>
      <w:proofErr w:type="spellStart"/>
      <w:r w:rsidR="00320C56">
        <w:t>Anarocococcus</w:t>
      </w:r>
      <w:proofErr w:type="spellEnd"/>
      <w:r w:rsidR="00320C56">
        <w:t xml:space="preserve">”, so named because if only contains taxa from genus </w:t>
      </w:r>
      <w:proofErr w:type="spellStart"/>
      <w:r w:rsidR="00320C56">
        <w:t>Anarococcus</w:t>
      </w:r>
      <w:proofErr w:type="spellEnd"/>
      <w:r w:rsidR="00320C56">
        <w:t>. This same cluster also contained</w:t>
      </w:r>
      <w:r w:rsidRPr="00D2345D">
        <w:t xml:space="preserve"> </w:t>
      </w:r>
      <w:r w:rsidR="00320C56">
        <w:t>family level groups</w:t>
      </w:r>
      <w:r w:rsidRPr="00D2345D">
        <w:t xml:space="preserve"> that were negatively </w:t>
      </w:r>
      <w:r w:rsidR="00320C56">
        <w:t>associated with gp41 at the 6.5-</w:t>
      </w:r>
      <w:r w:rsidRPr="00D2345D">
        <w:t xml:space="preserve">month time point, and </w:t>
      </w:r>
      <w:r w:rsidR="00320C56">
        <w:t>groups</w:t>
      </w:r>
      <w:r w:rsidRPr="00D2345D">
        <w:t xml:space="preserve"> that were positively associated with </w:t>
      </w:r>
      <w:r w:rsidR="00320C56">
        <w:t>Con.6.gp120.B</w:t>
      </w:r>
      <w:r w:rsidRPr="00D2345D">
        <w:t xml:space="preserve">, </w:t>
      </w:r>
      <w:r w:rsidR="00320C56">
        <w:t>ZM96.gp</w:t>
      </w:r>
      <w:r w:rsidRPr="00D2345D">
        <w:t xml:space="preserve">140 and </w:t>
      </w:r>
      <w:r w:rsidR="00320C56">
        <w:t xml:space="preserve">gp70 </w:t>
      </w:r>
      <w:proofErr w:type="spellStart"/>
      <w:r w:rsidR="00320C56">
        <w:t>B.CaseA</w:t>
      </w:r>
      <w:proofErr w:type="spellEnd"/>
      <w:r w:rsidR="00320C56">
        <w:t xml:space="preserve"> V</w:t>
      </w:r>
      <w:r w:rsidRPr="00D2345D">
        <w:t>1</w:t>
      </w:r>
      <w:r w:rsidR="00320C56">
        <w:t>-V</w:t>
      </w:r>
      <w:r w:rsidRPr="00D2345D">
        <w:t xml:space="preserve">2 concentrations. In contrast, families in the other proportional cluster (which included two families from the Bacteroides </w:t>
      </w:r>
      <w:r w:rsidR="00524558" w:rsidRPr="00D2345D">
        <w:t>phylum</w:t>
      </w:r>
      <w:r w:rsidRPr="00D2345D">
        <w:t xml:space="preserve"> </w:t>
      </w:r>
      <w:r w:rsidR="00524558">
        <w:t>as well as</w:t>
      </w:r>
      <w:r w:rsidRPr="00D2345D">
        <w:t xml:space="preserve"> several Clostridiales and other </w:t>
      </w:r>
      <w:proofErr w:type="spellStart"/>
      <w:r w:rsidRPr="00D2345D">
        <w:t>Firmicutes</w:t>
      </w:r>
      <w:proofErr w:type="spellEnd"/>
      <w:r w:rsidR="00320C56">
        <w:t xml:space="preserve"> containing</w:t>
      </w:r>
      <w:r w:rsidRPr="00D2345D">
        <w:t xml:space="preserve"> families that were different </w:t>
      </w:r>
      <w:r w:rsidR="00320C56" w:rsidRPr="00D2345D">
        <w:t>from</w:t>
      </w:r>
      <w:r w:rsidRPr="00D2345D">
        <w:t xml:space="preserve"> the ones in the first proportional group) were negatively associated with gp41 and positively associated with the other immune variables. The third proportional cluster appeared independent of immune variation.</w:t>
      </w:r>
    </w:p>
    <w:p w14:paraId="4CC5E076" w14:textId="77777777" w:rsidR="00D2345D" w:rsidRPr="00D2345D" w:rsidRDefault="00D2345D" w:rsidP="00F617A6">
      <w:pPr>
        <w:pStyle w:val="Heading1"/>
        <w:rPr>
          <w:rFonts w:ascii="Times New Roman" w:hAnsi="Times New Roman" w:cs="Times New Roman"/>
          <w:b/>
          <w:bCs/>
          <w:sz w:val="48"/>
          <w:szCs w:val="48"/>
        </w:rPr>
      </w:pPr>
      <w:r w:rsidRPr="00D2345D">
        <w:t>Discussion</w:t>
      </w:r>
    </w:p>
    <w:p w14:paraId="5E40F871" w14:textId="77777777" w:rsidR="00D2345D" w:rsidRPr="00D2345D" w:rsidRDefault="00D2345D" w:rsidP="00F617A6">
      <w:pPr>
        <w:pStyle w:val="Heading2"/>
        <w:rPr>
          <w:rFonts w:ascii="Times New Roman" w:hAnsi="Times New Roman" w:cs="Times New Roman"/>
          <w:b/>
          <w:bCs/>
          <w:sz w:val="36"/>
          <w:szCs w:val="36"/>
        </w:rPr>
      </w:pPr>
      <w:r w:rsidRPr="00D2345D">
        <w:t>The microbiome associates with baseline levels of gp41 IgG response</w:t>
      </w:r>
    </w:p>
    <w:p w14:paraId="7D87E9BA" w14:textId="0E9B25DE" w:rsidR="00D2345D" w:rsidRPr="00D2345D" w:rsidRDefault="00D2345D" w:rsidP="00211BCA">
      <w:pPr>
        <w:rPr>
          <w:sz w:val="24"/>
          <w:szCs w:val="24"/>
        </w:rPr>
      </w:pPr>
      <w:r w:rsidRPr="00D2345D">
        <w:lastRenderedPageBreak/>
        <w:t>The statistical association between the microbiome and gp41 specific IgG concentration at the baseline visit in our study supports previous indications that suggest that the microbiome shapes immune system development and function</w:t>
      </w:r>
      <w:r w:rsidR="009D75FA">
        <w:t xml:space="preserve"> </w:t>
      </w:r>
      <w:r w:rsidR="009D75FA">
        <w:fldChar w:fldCharType="begin"/>
      </w:r>
      <w:r w:rsidR="00D34B5C">
        <w:instrText xml:space="preserve"> ADDIN ZOTERO_ITEM CSL_CITATION {"citationID":"VvFX3N8K","properties":{"formattedCitation":"(e.g. Hooper et al., 2012)","plainCitation":"(e.g. Hooper et al., 2012)","noteIndex":0},"citationItems":[{"id":4017,"uris":["http://zotero.org/groups/1167044/items/GJTH7UQV"],"uri":["http://zotero.org/groups/1167044/items/GJTH7UQV"],"itemData":{"id":4017,"type":"article-journal","title":"Interactions between the microbiota and the immune system","container-title":"Science (New York, N.Y.)","page":"1268-1273","volume":"336","issue":"6086","source":"PubMed Central","abstract":"The large numbers of microorganisms that inhabit mammalian body surfaces have a highly co-evolved relationship with the immune system. Although many of these microbes carry out functions that are critical for host physiology, they nevertheless pose the threat of breach with ensuing pathologies. The mammalian immune system plays an essential role in maintaining homeostasis with resident microbial communities, thus ensuring that the mutualistic nature of the host-microbial relationship is maintained. At the same time, resident bacteria profoundly shape mammalian immunity. Here we review advances in our understanding of the interactions between resident microbes and the immune system and the implications of these findings for human health.","DOI":"10.1126/science.1223490","ISSN":"0036-8075","note":"PMID: 22674334\nPMCID: PMC4420145","journalAbbreviation":"Science","author":[{"family":"Hooper","given":"Lora V."},{"family":"Littman","given":"Dan R."},{"family":"Macpherson","given":"Andrew J."}],"issued":{"date-parts":[["2012",6,8]]}},"prefix":"e.g."}],"schema":"https://github.com/citation-style-language/schema/raw/master/csl-citation.json"} </w:instrText>
      </w:r>
      <w:r w:rsidR="009D75FA">
        <w:fldChar w:fldCharType="separate"/>
      </w:r>
      <w:r w:rsidR="00D34B5C" w:rsidRPr="00D34B5C">
        <w:t>(e.g. Hooper et al., 2012)</w:t>
      </w:r>
      <w:r w:rsidR="009D75FA">
        <w:fldChar w:fldCharType="end"/>
      </w:r>
      <w:r w:rsidRPr="00D2345D">
        <w:t xml:space="preserve">. To our </w:t>
      </w:r>
      <w:r w:rsidR="00524558" w:rsidRPr="00D2345D">
        <w:t>knowledge,</w:t>
      </w:r>
      <w:r w:rsidRPr="00D2345D">
        <w:t xml:space="preserve"> this paper is the first to identify a correlation between baseline gp41 binding IgG antibodies and the microbiome. Such an association may be an example of either the immune system reacting to the presence of microorganisms, or else producing IgG antibodies selecting for certain organisms, or likely a combination of both. While gp41 is believed to be specific </w:t>
      </w:r>
      <w:r w:rsidR="00F436F7">
        <w:t>to retroviruses</w:t>
      </w:r>
      <w:r w:rsidR="00D34B5C">
        <w:t xml:space="preserve"> </w:t>
      </w:r>
      <w:r w:rsidR="00D34B5C">
        <w:fldChar w:fldCharType="begin"/>
      </w:r>
      <w:r w:rsidR="00D34B5C">
        <w:instrText xml:space="preserve"> ADDIN ZOTERO_ITEM CSL_CITATION {"citationID":"hz0sEwZ9","properties":{"formattedCitation":"(Freed and Martin, 1995)","plainCitation":"(Freed and Martin, 1995)","noteIndex":0},"citationItems":[{"id":4838,"uris":["http://zotero.org/groups/1167044/items/VP3HCLM6"],"uri":["http://zotero.org/groups/1167044/items/VP3HCLM6"],"itemData":{"id":4838,"type":"article-journal","title":"The Role of Human Immunodeficiency Virus Type 1 Envelope Glycoproteins in Virus Infection","container-title":"Journal of Biological Chemistry","page":"23883-23886","volume":"270","issue":"41","source":"www.jbc.org","DOI":"10.1074/jbc.270.41.23883","ISSN":"0021-9258, 1083-351X","note":"PMID: 7592573","journalAbbreviation":"J. Biol. Chem.","language":"en","author":[{"family":"Freed","given":"Eric O."},{"family":"Martin","given":"Malcolm A."}],"issued":{"date-parts":[["1995",10,13]]}}}],"schema":"https://github.com/citation-style-language/schema/raw/master/csl-citation.json"} </w:instrText>
      </w:r>
      <w:r w:rsidR="00D34B5C">
        <w:fldChar w:fldCharType="separate"/>
      </w:r>
      <w:r w:rsidR="00D34B5C" w:rsidRPr="00D34B5C">
        <w:t>(Freed and Martin, 1995)</w:t>
      </w:r>
      <w:r w:rsidR="00D34B5C">
        <w:fldChar w:fldCharType="end"/>
      </w:r>
      <w:r w:rsidR="00F436F7" w:rsidRPr="00D2345D">
        <w:t>,</w:t>
      </w:r>
      <w:r w:rsidRPr="00D2345D">
        <w:t xml:space="preserve"> evidence is mounting that the microbiome has analogues which </w:t>
      </w:r>
      <w:r w:rsidR="00F436F7" w:rsidRPr="00D2345D">
        <w:t>cross-react</w:t>
      </w:r>
      <w:r w:rsidRPr="00D2345D">
        <w:t xml:space="preserve"> with gp41 binding antibodies</w:t>
      </w:r>
      <w:r w:rsidR="00D34B5C">
        <w:t xml:space="preserve"> </w:t>
      </w:r>
      <w:r w:rsidR="00D34B5C">
        <w:fldChar w:fldCharType="begin"/>
      </w:r>
      <w:r w:rsidR="00D34B5C">
        <w:instrText xml:space="preserve"> ADDIN ZOTERO_ITEM CSL_CITATION {"citationID":"h0tyiUmW","properties":{"formattedCitation":"(Trama et al., 2014; Williams et al., 2015, 2018)","plainCitation":"(Trama et al., 2014; Williams et al., 2015, 2018)","noteIndex":0},"citationItems":[{"id":4930,"uris":["http://zotero.org/groups/1167044/items/B7UZN7LM"],"uri":["http://zotero.org/groups/1167044/items/B7UZN7LM"],"itemData":{"id":4930,"type":"article-journal","title":"HIV-1 Envelope gp41 Antibodies Can Originate from Terminal Ileum B Cells that Share Cross-Reactivity with Commensal Bacteria","container-title":"Cell Host &amp; Microbe","page":"215-226","volume":"16","issue":"2","source":"ScienceDirect","abstract":"Summary\nMonoclonal antibodies derived from blood plasma cells of acute HIV-1-infected individuals are predominantly targeted to the HIV Env gp41 and cross-reactive with commensal bacteria. To understand this phenomenon, we examined anti-HIV responses in ileum B cells using recombinant antibody technology and probed their relationship to commensal bacteria. The dominant ileum B cell response was to Env gp41. Remarkably, a majority (82%) of the ileum anti-gp41 antibodies cross-reacted with commensal bacteria, and of those, 43% showed non-HIV-1 antigen polyreactivity. Pyrosequencing revealed shared HIV-1 antibody clonal lineages between ileum and blood. Mutated immunoglobulin G antibodies cross-reactive with both Env gp41 and microbiota could also be isolated from the ileum of HIV-1 uninfected individuals. Thus, the gp41 commensal bacterial antigen cross-reactive antibodies originate in the intestine, and the gp41 Env response in HIV-1 infection can be derived from a preinfection memory B cell pool triggered by commensal bacteria that cross-react with Env.","DOI":"10.1016/j.chom.2014.07.003","ISSN":"1931-3128","journalAbbreviation":"Cell Host &amp; Microbe","author":[{"family":"Trama","given":"Ashley M."},{"family":"Moody","given":"M. Anthony"},{"family":"Alam","given":"S. Munir"},{"family":"Jaeger","given":"Frederick H."},{"family":"Lockwood","given":"Bradley"},{"family":"Parks","given":"Robert"},{"family":"Lloyd","given":"Krissey E."},{"family":"Stolarchuk","given":"Christina"},{"family":"Scearce","given":"Richard"},{"family":"Foulger","given":"Andrew"},{"family":"Marshall","given":"Dawn J."},{"family":"Whitesides","given":"John F."},{"family":"Jeffries","given":"Thomas L."},{"family":"Wiehe","given":"Kevin"},{"family":"Morris","given":"Lynn"},{"family":"Lambson","given":"Bronwen"},{"family":"Soderberg","given":"Kelly"},{"family":"Hwang","given":"Kwan-Ki"},{"family":"Tomaras","given":"Georgia D."},{"family":"Vandergrift","given":"Nathan"},{"family":"Jackson","given":"Katherine J. L."},{"family":"Roskin","given":"Krishna M."},{"family":"Boyd","given":"Scott D."},{"family":"Kepler","given":"Thomas B."},{"family":"Liao","given":"Hua-Xin"},{"family":"Haynes","given":"Barton F."}],"issued":{"date-parts":[["2014",8,13]]}}},{"id":3755,"uris":["http://zotero.org/groups/1167044/items/5275UVXW"],"uri":["http://zotero.org/groups/1167044/items/5275UVXW"],"itemData":{"id":3755,"type":"article-journal","title":"Diversion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F."}],"issued":{"date-parts":[["2015",7,30]]}}},{"id":4806,"uris":["http://zotero.org/groups/1167044/items/4VSNLIFW"],"uri":["http://zotero.org/groups/1167044/items/4VSNLIFW"],"itemData":{"id":4806,"type":"article-journal","title":"Cross-reactivity of HIV vaccine responses and the microbiome:","container-title":"Current Opinion in HIV and AIDS","page":"9-14","volume":"13","issue":"1","source":"CrossRef","DOI":"10.1097/COH.0000000000000423","ISSN":"1746-630X","shortTitle":"Cross-reactivity of HIV vaccine responses and the microbiome","language":"en","author":[{"family":"Williams","given":"Wilton B."},{"family":"Han","given":"Qifeng"},{"family":"Haynes","given":"Barton F."}],"issued":{"date-parts":[["2018",1]]}}}],"schema":"https://github.com/citation-style-language/schema/raw/master/csl-citation.json"} </w:instrText>
      </w:r>
      <w:r w:rsidR="00D34B5C">
        <w:fldChar w:fldCharType="separate"/>
      </w:r>
      <w:r w:rsidR="00D34B5C" w:rsidRPr="00D34B5C">
        <w:t>(</w:t>
      </w:r>
      <w:proofErr w:type="spellStart"/>
      <w:r w:rsidR="00D34B5C" w:rsidRPr="00D34B5C">
        <w:t>Trama</w:t>
      </w:r>
      <w:proofErr w:type="spellEnd"/>
      <w:r w:rsidR="00D34B5C" w:rsidRPr="00D34B5C">
        <w:t xml:space="preserve"> et al., 2014; Williams et al., 2015, 2018)</w:t>
      </w:r>
      <w:r w:rsidR="00D34B5C">
        <w:fldChar w:fldCharType="end"/>
      </w:r>
      <w:r w:rsidRPr="00D2345D">
        <w:t xml:space="preserve">. Indeed, if this is the case, microorganisms with gp41 analogue proteins may elicit an immune response that is </w:t>
      </w:r>
      <w:r w:rsidR="00F436F7" w:rsidRPr="00D2345D">
        <w:t>cross specific</w:t>
      </w:r>
      <w:r w:rsidRPr="00D2345D">
        <w:t xml:space="preserve"> to both HIV and the microbiome</w:t>
      </w:r>
      <w:r w:rsidR="00D34B5C">
        <w:t xml:space="preserve"> </w:t>
      </w:r>
      <w:r w:rsidR="00D34B5C">
        <w:fldChar w:fldCharType="begin"/>
      </w:r>
      <w:r w:rsidR="00D34B5C">
        <w:instrText xml:space="preserve"> ADDIN ZOTERO_ITEM CSL_CITATION {"citationID":"uTcYwnwD","properties":{"formattedCitation":"(Williams et al., 2015)","plainCitation":"(Williams et al., 2015)","noteIndex":0},"citationItems":[{"id":3755,"uris":["http://zotero.org/groups/1167044/items/5275UVXW"],"uri":["http://zotero.org/groups/1167044/items/5275UVXW"],"itemData":{"id":3755,"type":"article-journal","title":"Diversion of HIV-1 vaccine–induced immunity by gp41-microbiota cross-reactive antibodies","container-title":"Science","page":"aab1253","source":"science.sciencemag.org.offcampus.lib.washington.edu","abstract":"A HIV-1 DNA prime-recombinant Adenovirus Type 5 (rAd5) boost vaccine failed to protect from HIV-1 acquisition. We studied the nature of the vaccine-induced antibody (Ab) response to HIV-1 envelope (Env). HIV-1-reactive plasma Ab titers were higher to Env gp41 than gp120, and repertoire analysis demonstrated that 93% of HIV-1-reactive Abs from memory B cells was to Env gp41. Vaccine-induced gp41-reactive monoclonal antibodies (mAbs) were non-neutralizing, and frequently polyreactive with host and environmental antigens including intestinal microbiota (IM). Next generation sequencing of an IGHV repertoire prior to vaccination revealed an Env-IM cross-reactive Ab that was clonally-related to a subsequent vaccine-induced gp41-reactive Ab. Thus, HIV-1 Env DNA-rAd5 vaccine induced a dominant IM-polyreactive, non-neutralizing gp41-reactive Ab repertoire response that was associated with no vaccine efficacy.","DOI":"10.1126/science.aab1253","ISSN":"0036-8075, 1095-9203","note":"PMID: 26229114","language":"en","author":[{"family":"Williams","given":"Wilton B."},{"family":"Liao","given":"Hua-Xin"},{"family":"Moody","given":"M. Anthony"},{"family":"Kepler","given":"Thomas B."},{"family":"Alam","given":"S. Munir"},{"family":"Gao","given":"Feng"},{"family":"Wiehe","given":"Kevin"},{"family":"Trama","given":"Ashley M."},{"family":"Jones","given":"Kathryn"},{"family":"Zhang","given":"Ruijun"},{"family":"Song","given":"Hongshuo"},{"family":"Marshall","given":"Dawn J."},{"family":"Whitesides","given":"John F."},{"family":"Sawatzki","given":"Kaitlin"},{"family":"Hua","given":"Axin"},{"family":"Liu","given":"Pinghuang"},{"family":"Tay","given":"Matthew Z."},{"family":"Seaton","given":"Kelly"},{"family":"Shen","given":"Xiaoying"},{"family":"Foulger","given":"Andrew"},{"family":"Lloyd","given":"Krissey E."},{"family":"Parks","given":"Robert"},{"family":"Pollara","given":"Justin"},{"family":"Ferrari","given":"Guido"},{"family":"Yu","given":"Jae-Sung"},{"family":"Vandergrift","given":"Nathan"},{"family":"Montefiori","given":"David C."},{"family":"Sobieszczyk","given":"Magdalena E."},{"family":"Hammer","given":"Scott"},{"family":"Karuna","given":"Shelly"},{"family":"Gilbert","given":"Peter"},{"family":"Grove","given":"Doug"},{"family":"Grunenberg","given":"Nicole"},{"family":"McElrath","given":"Julie"},{"family":"Mascola","given":"John R."},{"family":"Koup","given":"Richard A."},{"family":"Corey","given":"Lawrence"},{"family":"Nabel","given":"Gary J."},{"family":"Morgan","given":"Cecilia"},{"family":"Churchyard","given":"Gavin"},{"family":"Maenza","given":"Janine"},{"family":"Keefer","given":"Michael"},{"family":"Graham","given":"Barney S."},{"family":"Baden","given":"Lindsey R."},{"family":"Tomaras","given":"Georgia D."},{"family":"Haynes","given":"Barton F."}],"issued":{"date-parts":[["2015",7,30]]}}}],"schema":"https://github.com/citation-style-language/schema/raw/master/csl-citation.json"} </w:instrText>
      </w:r>
      <w:r w:rsidR="00D34B5C">
        <w:fldChar w:fldCharType="separate"/>
      </w:r>
      <w:r w:rsidR="00D34B5C" w:rsidRPr="00D34B5C">
        <w:t>(Williams et al., 2015)</w:t>
      </w:r>
      <w:r w:rsidR="00D34B5C">
        <w:fldChar w:fldCharType="end"/>
      </w:r>
      <w:r w:rsidRPr="00D2345D">
        <w:t xml:space="preserve">. </w:t>
      </w:r>
    </w:p>
    <w:p w14:paraId="621E8D3D" w14:textId="77777777" w:rsidR="00D2345D" w:rsidRPr="00D2345D" w:rsidRDefault="00D2345D" w:rsidP="00F617A6">
      <w:pPr>
        <w:pStyle w:val="Heading2"/>
        <w:rPr>
          <w:rFonts w:ascii="Times New Roman" w:hAnsi="Times New Roman" w:cs="Times New Roman"/>
          <w:b/>
          <w:bCs/>
          <w:sz w:val="36"/>
          <w:szCs w:val="36"/>
        </w:rPr>
      </w:pPr>
      <w:r w:rsidRPr="00D2345D">
        <w:t>The microbiome is a correlate of vaccine immunogenicity</w:t>
      </w:r>
    </w:p>
    <w:p w14:paraId="491D42FD" w14:textId="1B893F44" w:rsidR="00D2345D" w:rsidRPr="00D2345D" w:rsidRDefault="00D2345D" w:rsidP="00211BCA">
      <w:pPr>
        <w:rPr>
          <w:sz w:val="24"/>
          <w:szCs w:val="24"/>
        </w:rPr>
      </w:pPr>
      <w:r w:rsidRPr="00D2345D">
        <w:t xml:space="preserve">This </w:t>
      </w:r>
      <w:proofErr w:type="gramStart"/>
      <w:r w:rsidRPr="00D2345D">
        <w:t>study’s</w:t>
      </w:r>
      <w:proofErr w:type="gramEnd"/>
      <w:r w:rsidRPr="00D2345D">
        <w:t xml:space="preserve"> observed association between microbiome and immunogenicity of the NYVAC containing vaccine regimens expands on a pool of literature that suggests that the microbiome appears to influence the immune system and associates with vaccine immunogenicity. This relationship between vaccines and microbiota likely follows from the former’s </w:t>
      </w:r>
      <w:r w:rsidR="00F436F7" w:rsidRPr="00D2345D">
        <w:t>well-documented</w:t>
      </w:r>
      <w:r w:rsidRPr="00D2345D">
        <w:t xml:space="preserve"> role in shaping the function and development of the immune system</w:t>
      </w:r>
      <w:r w:rsidR="003C7E4B">
        <w:t xml:space="preserve"> </w:t>
      </w:r>
      <w:r w:rsidR="003C7E4B">
        <w:fldChar w:fldCharType="begin"/>
      </w:r>
      <w:r w:rsidR="003C7E4B">
        <w:instrText xml:space="preserve"> ADDIN ZOTERO_ITEM CSL_CITATION {"citationID":"HZM5NQso","properties":{"formattedCitation":"(Hooper et al., 2012)","plainCitation":"(Hooper et al., 2012)","noteIndex":0},"citationItems":[{"id":4017,"uris":["http://zotero.org/groups/1167044/items/GJTH7UQV"],"uri":["http://zotero.org/groups/1167044/items/GJTH7UQV"],"itemData":{"id":4017,"type":"article-journal","title":"Interactions between the microbiota and the immune system","container-title":"Science (New York, N.Y.)","page":"1268-1273","volume":"336","issue":"6086","source":"PubMed Central","abstract":"The large numbers of microorganisms that inhabit mammalian body surfaces have a highly co-evolved relationship with the immune system. Although many of these microbes carry out functions that are critical for host physiology, they nevertheless pose the threat of breach with ensuing pathologies. The mammalian immune system plays an essential role in maintaining homeostasis with resident microbial communities, thus ensuring that the mutualistic nature of the host-microbial relationship is maintained. At the same time, resident bacteria profoundly shape mammalian immunity. Here we review advances in our understanding of the interactions between resident microbes and the immune system and the implications of these findings for human health.","DOI":"10.1126/science.1223490","ISSN":"0036-8075","note":"PMID: 22674334\nPMCID: PMC4420145","journalAbbreviation":"Science","author":[{"family":"Hooper","given":"Lora V."},{"family":"Littman","given":"Dan R."},{"family":"Macpherson","given":"Andrew J."}],"issued":{"date-parts":[["2012",6,8]]}}}],"schema":"https://github.com/citation-style-language/schema/raw/master/csl-citation.json"} </w:instrText>
      </w:r>
      <w:r w:rsidR="003C7E4B">
        <w:fldChar w:fldCharType="separate"/>
      </w:r>
      <w:r w:rsidR="003C7E4B" w:rsidRPr="003C7E4B">
        <w:t>(Hooper et al., 2012)</w:t>
      </w:r>
      <w:r w:rsidR="003C7E4B">
        <w:fldChar w:fldCharType="end"/>
      </w:r>
      <w:r w:rsidR="003C7E4B">
        <w:t>.</w:t>
      </w:r>
      <w:r w:rsidRPr="00D2345D">
        <w:t xml:space="preserve"> Because the microbiome shapes immune system development and function, it should not come as a surprise that this immune system’s response to vaccines relates to the microbiome. Indeed, the efficacy of rotavirus and oral polio vaccine efficacy have been previously shown to relate to microbial community structure</w:t>
      </w:r>
      <w:r w:rsidR="003C7E4B">
        <w:t xml:space="preserve"> </w:t>
      </w:r>
      <w:r w:rsidR="003C7E4B">
        <w:fldChar w:fldCharType="begin"/>
      </w:r>
      <w:r w:rsidR="003C7E4B">
        <w:instrText xml:space="preserve"> ADDIN ZOTERO_ITEM CSL_CITATION {"citationID":"DA506Ovf","properties":{"formattedCitation":"(Harris et al., 2017; Huda et al., 2014; Lagos et al., 1999)","plainCitation":"(Harris et al., 2017; Huda et al., 2014; Lagos et al., 1999)","noteIndex":0},"citationItems":[{"id":299,"uris":["http://zotero.org/groups/1167044/items/PV9FM27M"],"uri":["http://zotero.org/groups/1167044/items/PV9FM27M"],"itemData":{"id":299,"type":"article-journal","title":"Significant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B."}],"issued":{"date-parts":[["2014",8,1]]}}},{"id":3735,"uris":["http://zotero.org/groups/1167044/items/IH7QCSBN"],"uri":["http://zotero.org/groups/1167044/items/IH7QCSBN"],"itemData":{"id":3735,"type":"article-journal","title":"Effect of Small Bowel Bacterial Overgrowth on the Immunogenicity of Single-Dose Live Oral Cholera Vaccine CVD 103-HgR","container-title":"The Journal of Infectious Diseases","page":"1709-1712","volume":"180","issue":"5","source":"JSTOR","abstract":"Several live oral vaccines (polio, bovine rotavirus, CVD 103-HgR cholera) are less immunogenic in developing than in industrialized countries. It was hypothesized that proximal small bowel bacterial overgrowth (common in children in less developed countries but rare in industrialized settings) diminishes the vibriocidal antibody response to CVD 103-HgR. In total, 202 fasting Santiago schoolchildren aged 5-9 years had lactulose breath H2 tests to detect proximal small bowel bacteria 1 day before ingesting CVD 103-HgR. Florid small bowel overgrowth was observed in 10 (5.6%) of 178 analyzable children. In children with florid overgrowth, vibriocidal seroconversion differed little from other children (60% vs. 67%), but the geometric mean titer was lower (160 vs. 368; P = .25). By logistic regression, increased peak breath$H_2$at small bowel time points was associated with diminished seroconversion (P = .04), as was the interaction of H₂ value and weight (children &gt;25 kg had lower seroconversion rates among subjects with heaviest overgrowth).","ISSN":"0022-1899","author":[{"family":"Lagos","given":"Rosanna"},{"family":"Fasano","given":"Alessio"},{"family":"Wasserman","given":"Steven S."},{"family":"Prado","given":"Valeria"},{"family":"San Martin","given":"Oriana"},{"family":"Abrego","given":"Paulina"},{"family":"Losonsky","given":"Genevieve A."},{"family":"Alegria","given":"Silvia"},{"family":"Levine","given":"Myron M."}],"issued":{"date-parts":[["1999"]]}}}],"schema":"https://github.com/citation-style-language/schema/raw/master/csl-citation.json"} </w:instrText>
      </w:r>
      <w:r w:rsidR="003C7E4B">
        <w:fldChar w:fldCharType="separate"/>
      </w:r>
      <w:r w:rsidR="003C7E4B" w:rsidRPr="003C7E4B">
        <w:t>(Harris et al., 2017; Huda et al., 2014; Lagos et al., 1999)</w:t>
      </w:r>
      <w:r w:rsidR="003C7E4B">
        <w:fldChar w:fldCharType="end"/>
      </w:r>
      <w:r w:rsidR="003C7E4B">
        <w:t xml:space="preserve">. Recently, Collins and </w:t>
      </w:r>
      <w:proofErr w:type="spellStart"/>
      <w:r w:rsidR="003C7E4B">
        <w:t>Belkaid</w:t>
      </w:r>
      <w:proofErr w:type="spellEnd"/>
      <w:r w:rsidR="003C7E4B">
        <w:t xml:space="preserve"> </w:t>
      </w:r>
      <w:r w:rsidR="003C7E4B">
        <w:fldChar w:fldCharType="begin"/>
      </w:r>
      <w:r w:rsidR="003C7E4B">
        <w:instrText xml:space="preserve"> ADDIN ZOTERO_ITEM CSL_CITATION {"citationID":"Qk77FVSd","properties":{"formattedCitation":"(2017)","plainCitation":"(2017)","noteIndex":0},"citationItems":[{"id":306,"uris":["http://zotero.org/groups/1167044/items/MWIV3S54"],"uri":["http://zotero.org/groups/1167044/items/MWIV3S54"],"itemData":{"id":306,"type":"article-journal","title":"Do the microbiota influence vaccines and protective immunity to pathogens?: engaging our endogenous adjuvants","container-title":"Cold Spring Harbor Perspectives in Biology","page":"a028860","source":"CrossRef","abstract":"The reliance of the immune system on constitutive microbial stimulation support the idea that\nboth responsiveness to vaccines and vaccine design need to be considered in the context of\nhost– microbiota interactions. Manipulation of microbe function or composition via\ndiet alteration or microbiota engraftment may soon become a viable approach to control\nimmunity and, as such, vaccine responses. Learning from our endogenous original adju-\nvants could be critical in overcoming the enormous hurdle of vaccine design against the\nnumerous pathogens that cause chronic infection. Going forward, rationally designed vac-\ncines that take advantage of the inherent adjuvant properties of the microbiota could have a\nmajor impact on the prevention of disease.","DOI":"10.1101/cshperspect.a028860","ISSN":"1943-0264","shortTitle":"Do the Microbiota Influence Vaccines and Protective Immunity to Pathogens?","language":"en","author":[{"family":"Collins","given":"Nicholas"},{"family":"Belkaid","given":"Yasmine"}],"issued":{"date-parts":[["2017",4,21]]}},"suppress-author":true}],"schema":"https://github.com/citation-style-language/schema/raw/master/csl-citation.json"} </w:instrText>
      </w:r>
      <w:r w:rsidR="003C7E4B">
        <w:fldChar w:fldCharType="separate"/>
      </w:r>
      <w:r w:rsidR="003C7E4B" w:rsidRPr="003C7E4B">
        <w:t>(2017)</w:t>
      </w:r>
      <w:r w:rsidR="003C7E4B">
        <w:fldChar w:fldCharType="end"/>
      </w:r>
      <w:r w:rsidRPr="00D2345D">
        <w:t xml:space="preserve"> suggested that some members of the microbiome may act as “endogenous adjuvants” enhancing vaccine responses, and proposed that vaccines should be developed to account for this property. </w:t>
      </w:r>
    </w:p>
    <w:p w14:paraId="029FB7FC" w14:textId="08B5A830" w:rsidR="00D2345D" w:rsidRPr="00D2345D" w:rsidRDefault="00D2345D" w:rsidP="00211BCA">
      <w:pPr>
        <w:rPr>
          <w:sz w:val="24"/>
          <w:szCs w:val="24"/>
        </w:rPr>
      </w:pPr>
      <w:r w:rsidRPr="00D2345D">
        <w:t xml:space="preserve">The observation that overall microbial community structure relates generally to the concentrations of several specific IgGs may suggest that the microbial community either shapes the host’s immune system’s response to vaccines or else that hosts with immune systems that are more responsive to vaccines somehow promote growth of different bacteria than hosts who are less responsive to vaccines. There are several mechanisms by which microbiota may impact the immune system in ways that are relevant to this study: The association of the composition of the gut microbiota with HIV-1 specific antibody binding at pre- and post-vaccination time points may indicate a direct role for microbes in developing the immune response. Such a role could be broad, involving pathways of the innate response and </w:t>
      </w:r>
      <w:r w:rsidR="00F436F7" w:rsidRPr="00D2345D">
        <w:t>innate</w:t>
      </w:r>
      <w:r w:rsidRPr="00D2345D">
        <w:t xml:space="preserve"> </w:t>
      </w:r>
      <w:r w:rsidR="00F436F7" w:rsidRPr="00D2345D">
        <w:t>lymphoid</w:t>
      </w:r>
      <w:r w:rsidRPr="00D2345D">
        <w:t xml:space="preserve"> cells as proposed previously</w:t>
      </w:r>
      <w:r w:rsidR="00CC6AD6">
        <w:t xml:space="preserve"> </w:t>
      </w:r>
      <w:r w:rsidR="00CC6AD6">
        <w:fldChar w:fldCharType="begin"/>
      </w:r>
      <w:r w:rsidR="00CC6AD6">
        <w:instrText xml:space="preserve"> ADDIN ZOTERO_ITEM CSL_CITATION {"citationID":"GnAvmEMI","properties":{"formattedCitation":"(Klose and Artis, 2016; Moro and Koyasu, 2015)","plainCitation":"(Klose and Artis, 2016; Moro and Koyasu, 2015)","noteIndex":0},"citationItems":[{"id":4945,"uris":["http://zotero.org/groups/1167044/items/Q2HJLB5E"],"uri":["http://zotero.org/groups/1167044/items/Q2HJLB5E"],"itemData":{"id":4945,"type":"article-journal","title":"Innate lymphoid cells as regulators of immunity, inflammation and tissue homeostasis","container-title":"Nature Immunology","page":"765-774","volume":"17","issue":"7","source":"www.nature.com","abstract":"Research over the last 7 years has led to the formal identification of innate lymphoid cells (ILCs), increased the understanding of their tissue distribution and has established essential functions of ILCs in diverse physiological processes. These include resistance to pathogens, the regulation of autoimmune inflammation, tissue remodeling, cancer and metabolic homeostasis. Notably, many ILC functions appear to be regulated by mechanisms distinct from those of other innate and adaptive immune cells. In this Review, we focus on how group 2 ILC (ILC2) and group 3 ILC (ILC3) responses are regulated and how these cells interact with other immune and non-immune cells to mediate their functions. We highlight experimental evidence from mouse models and patient-based studies that have elucidated the effects of ILCs on the maintenance of tissue homeostasis and the consequences for health and disease.","DOI":"10.1038/ni.3489","ISSN":"1529-2916","language":"en","author":[{"family":"Klose","given":"Christoph S. N."},{"family":"Artis","given":"David"}],"issued":{"date-parts":[["2016",7]]}}},{"id":4943,"uris":["http://zotero.org/groups/1167044/items/GK3IMR6P"],"uri":["http://zotero.org/groups/1167044/items/GK3IMR6P"],"itemData":{"id":4943,"type":"article-journal","title":"Innate lymphoid cells, possible interaction with microbiota","container-title":"Seminars in Immunopathology","page":"27-37","volume":"37","issue":"1","source":"Crossref","DOI":"10.1007/s00281-014-0470-4","ISSN":"1863-2297, 1863-2300","language":"en","author":[{"family":"Moro","given":"Kazuyo"},{"family":"Koyasu","given":"Shigeo"}],"issued":{"date-parts":[["2015",1]]}}}],"schema":"https://github.com/citation-style-language/schema/raw/master/csl-citation.json"} </w:instrText>
      </w:r>
      <w:r w:rsidR="00CC6AD6">
        <w:fldChar w:fldCharType="separate"/>
      </w:r>
      <w:r w:rsidR="00CC6AD6" w:rsidRPr="00CC6AD6">
        <w:t xml:space="preserve">(Klose and </w:t>
      </w:r>
      <w:proofErr w:type="spellStart"/>
      <w:r w:rsidR="00CC6AD6" w:rsidRPr="00CC6AD6">
        <w:t>Artis</w:t>
      </w:r>
      <w:proofErr w:type="spellEnd"/>
      <w:r w:rsidR="00CC6AD6" w:rsidRPr="00CC6AD6">
        <w:t xml:space="preserve">, 2016; Moro and </w:t>
      </w:r>
      <w:proofErr w:type="spellStart"/>
      <w:r w:rsidR="00CC6AD6" w:rsidRPr="00CC6AD6">
        <w:t>Koyasu</w:t>
      </w:r>
      <w:proofErr w:type="spellEnd"/>
      <w:r w:rsidR="00CC6AD6" w:rsidRPr="00CC6AD6">
        <w:t>, 2015)</w:t>
      </w:r>
      <w:r w:rsidR="00CC6AD6">
        <w:fldChar w:fldCharType="end"/>
      </w:r>
      <w:r w:rsidRPr="00D2345D">
        <w:t xml:space="preserve">. A direct role may also involve cross-reactive epitopes in gp41 and commensal bacteria. Additionally, </w:t>
      </w:r>
      <w:r w:rsidRPr="00D2345D">
        <w:lastRenderedPageBreak/>
        <w:t xml:space="preserve">microbial community structure may be indirectly associated with the response to vaccination because it acts as a readout and predictor of immune status. A baseline immunogenicity predictor (BIP) like the microbiota could be valuable in vaccine development as a </w:t>
      </w:r>
      <w:r w:rsidRPr="006B68DE">
        <w:t xml:space="preserve">correlate of efficacy </w:t>
      </w:r>
      <w:bookmarkStart w:id="1" w:name="_GoBack"/>
      <w:bookmarkEnd w:id="1"/>
      <w:r w:rsidR="006B68DE">
        <w:fldChar w:fldCharType="begin"/>
      </w:r>
      <w:r w:rsidR="006B68DE">
        <w:instrText xml:space="preserve"> ADDIN ZOTERO_ITEM CSL_CITATION {"citationID":"S5wFrNIB","properties":{"formattedCitation":"(Gabriel and Follmann, 2016; Plotkin and Gilbert, 2012)","plainCitation":"(Gabriel and Follmann, 2016; Plotkin and Gilbert, 2012)","noteIndex":0},"citationItems":[{"id":4950,"uris":["http://zotero.org/groups/1167044/items/M9YTID8B"],"uri":["http://zotero.org/groups/1167044/items/M9YTID8B"],"itemData":{"id":4950,"type":"article-journal","title":"Augmented trial designs for evaluation of principal surrogates","container-title":"Biostatistics (Oxford, England)","page":"453-467","volume":"17","issue":"3","source":"PubMed Central","abstract":"Observation of counterfactual intermediate responses, and evaluation of them as candidate surrogates, is complicated in a standard randomized trial as half of the responses are systematically missing by design. Although some augmentation procedures exist for obtaining counterfactual responses, they are specific to vaccine trials. We outline extensions to the existing augmentations and suggest augmentations of three trial designs outside the setting of vaccines. We outline the assumptions needed to identify the causal estimands of interest under each augmented design, under which standard likelihood-based methods can be used to evaluate intermediate responses as principal surrogates. Two of these designs, crossover and individual stepped-wedge, allow for the observation of clinical endpoints under both treatment and control for some subset of subjects and can therefore improve efficiency over standard parallel trial designs. The third, the treatment run-in design, allows for the observation of a baseline measure that may be as useful a surrogate as the true counterfactual intermediate response. As the evaluation methods rely on several assumptions, we also outline a remediation analysis, which can be used to help overcome assumption violations. We illustrate our suggested methods in an example from a drug-resistant tuberculosis treatment trial.","DOI":"10.1093/biostatistics/kxv055","ISSN":"1465-4644","note":"PMID: 26825099\nPMCID: PMC4915608","journalAbbreviation":"Biostatistics","author":[{"family":"Gabriel","given":"Erin E."},{"family":"Follmann","given":"Dean"}],"issued":{"date-parts":[["2016",7]]}}},{"id":4949,"uris":["http://zotero.org/groups/1167044/items/BKHGLCV4"],"uri":["http://zotero.org/groups/1167044/items/BKHGLCV4"],"itemData":{"id":4949,"type":"article-journal","title":"Nomenclature for Immune Correlates of Protection After Vaccination","container-title":"Clinical Infectious Diseases","page":"1615-1617","volume":"54","issue":"11","source":"Crossref","DOI":"10.1093/cid/cis238","ISSN":"1058-4838, 1537-6591","language":"en","author":[{"family":"Plotkin","given":"S. A."},{"family":"Gilbert","given":"P. B."}],"issued":{"date-parts":[["2012",6,1]]}}}],"schema":"https://github.com/citation-style-language/schema/raw/master/csl-citation.json"} </w:instrText>
      </w:r>
      <w:r w:rsidR="006B68DE">
        <w:fldChar w:fldCharType="separate"/>
      </w:r>
      <w:r w:rsidR="006B68DE" w:rsidRPr="006B68DE">
        <w:t xml:space="preserve">(Gabriel and </w:t>
      </w:r>
      <w:proofErr w:type="spellStart"/>
      <w:r w:rsidR="006B68DE" w:rsidRPr="006B68DE">
        <w:t>Follmann</w:t>
      </w:r>
      <w:proofErr w:type="spellEnd"/>
      <w:r w:rsidR="006B68DE" w:rsidRPr="006B68DE">
        <w:t xml:space="preserve">, 2016; </w:t>
      </w:r>
      <w:proofErr w:type="spellStart"/>
      <w:r w:rsidR="006B68DE" w:rsidRPr="006B68DE">
        <w:t>Plotkin</w:t>
      </w:r>
      <w:proofErr w:type="spellEnd"/>
      <w:r w:rsidR="006B68DE" w:rsidRPr="006B68DE">
        <w:t xml:space="preserve"> and Gilbert, 2012)</w:t>
      </w:r>
      <w:r w:rsidR="006B68DE">
        <w:fldChar w:fldCharType="end"/>
      </w:r>
      <w:r w:rsidRPr="006B68DE">
        <w:t>.</w:t>
      </w:r>
    </w:p>
    <w:p w14:paraId="4461EA61" w14:textId="60FC99F0" w:rsidR="00D2345D" w:rsidRPr="00D2345D" w:rsidRDefault="00D2345D" w:rsidP="00211BCA">
      <w:pPr>
        <w:rPr>
          <w:sz w:val="24"/>
          <w:szCs w:val="24"/>
        </w:rPr>
      </w:pPr>
      <w:r w:rsidRPr="00D2345D">
        <w:t xml:space="preserve">We identified groups of co-occurring organisms, which can be observed as proportional clusters of family level taxa (Figure 4) and represented as principal coordinate axes in weighted UniFrac space (Figure 2). These groups appear to associate with vaccine response, as measured by the production of a variety of antigen-specific antibodies, and are correlated in the opposite direction with baseline gp41 antibody levels. These proportional groups contain numerous organisms. Given the statistical power of our </w:t>
      </w:r>
      <w:r w:rsidR="00F436F7">
        <w:t>analysis</w:t>
      </w:r>
      <w:r w:rsidRPr="00D2345D">
        <w:t xml:space="preserve"> (</w:t>
      </w:r>
      <w:r w:rsidR="00F436F7" w:rsidRPr="00D2345D">
        <w:t>indeed,</w:t>
      </w:r>
      <w:r w:rsidRPr="00D2345D">
        <w:t xml:space="preserve"> there were only 21 participants)</w:t>
      </w:r>
      <w:r w:rsidR="00F436F7">
        <w:t>,</w:t>
      </w:r>
      <w:r w:rsidRPr="00D2345D">
        <w:t xml:space="preserve"> it is not possible to assign particular importance to any one organism within those clusters. Rather than trying to identify individual taxa, we focused on identifying and describing overall trends in community structure and its relationship to vaccine response. Our observed clusters of proportional organisms contained some taxa that were statistically associated with our variables of interest while others were not. We do not contend that the taxa that passed our significance threshold are more related to the variable of interest. Which organisms in this cluster happen to fall above or below the significance threshold may ultimately be stochastic, rather than indicative of these organisms importance. Rather, we contend that any organism or set of organisms within the cluster may be the ones most relevantly related to the parameter of </w:t>
      </w:r>
      <w:r w:rsidRPr="002B1BD1">
        <w:t xml:space="preserve">interest. For example, </w:t>
      </w:r>
      <w:r w:rsidR="002B1BD1" w:rsidRPr="002B1BD1">
        <w:t xml:space="preserve">while </w:t>
      </w:r>
      <w:r w:rsidRPr="002B1BD1">
        <w:t xml:space="preserve">we observe that communities with high abundance of </w:t>
      </w:r>
      <w:r w:rsidR="00320C56" w:rsidRPr="002B1BD1">
        <w:t>the “</w:t>
      </w:r>
      <w:proofErr w:type="spellStart"/>
      <w:r w:rsidR="00320C56" w:rsidRPr="002B1BD1">
        <w:t>Clostrida</w:t>
      </w:r>
      <w:proofErr w:type="spellEnd"/>
      <w:r w:rsidR="00320C56" w:rsidRPr="002B1BD1">
        <w:t>”</w:t>
      </w:r>
      <w:r w:rsidR="002B1BD1" w:rsidRPr="002B1BD1">
        <w:t xml:space="preserve"> and “</w:t>
      </w:r>
      <w:proofErr w:type="spellStart"/>
      <w:r w:rsidR="002B1BD1" w:rsidRPr="002B1BD1">
        <w:t>Anorococcus</w:t>
      </w:r>
      <w:proofErr w:type="spellEnd"/>
      <w:r w:rsidR="002B1BD1" w:rsidRPr="002B1BD1">
        <w:t>”</w:t>
      </w:r>
      <w:r w:rsidR="00626E72" w:rsidRPr="002B1BD1">
        <w:t xml:space="preserve"> f</w:t>
      </w:r>
      <w:r w:rsidR="00320C56" w:rsidRPr="002B1BD1">
        <w:t>amily level agglomerated group</w:t>
      </w:r>
      <w:r w:rsidR="002B1BD1" w:rsidRPr="002B1BD1">
        <w:t>s</w:t>
      </w:r>
      <w:r w:rsidR="00320C56" w:rsidRPr="002B1BD1">
        <w:t xml:space="preserve"> </w:t>
      </w:r>
      <w:r w:rsidR="002B1BD1" w:rsidRPr="002B1BD1">
        <w:t>(see Results Section 4.5)</w:t>
      </w:r>
      <w:r w:rsidRPr="002B1BD1">
        <w:t xml:space="preserve"> are characterized b</w:t>
      </w:r>
      <w:r w:rsidR="00E55EE2" w:rsidRPr="002B1BD1">
        <w:t>y high gp41 at day 0 (Figure 4)</w:t>
      </w:r>
      <w:r w:rsidR="002B1BD1" w:rsidRPr="002B1BD1">
        <w:t>, a</w:t>
      </w:r>
      <w:r w:rsidRPr="002B1BD1">
        <w:t>ll</w:t>
      </w:r>
      <w:r w:rsidRPr="00D2345D">
        <w:t xml:space="preserve">, some, or none of the SVs within these families may relate to the immune effects identified. </w:t>
      </w:r>
      <w:proofErr w:type="gramStart"/>
      <w:r w:rsidR="00F436F7" w:rsidRPr="00D2345D">
        <w:t>Indeed,</w:t>
      </w:r>
      <w:r w:rsidRPr="00D2345D">
        <w:t xml:space="preserve"> it may be other organisms that are statistically (and </w:t>
      </w:r>
      <w:r w:rsidR="00F436F7" w:rsidRPr="00D2345D">
        <w:t>perhaps</w:t>
      </w:r>
      <w:r w:rsidRPr="00D2345D">
        <w:t xml:space="preserve"> mechanistically) associated with </w:t>
      </w:r>
      <w:r w:rsidR="00F436F7" w:rsidRPr="00D2345D">
        <w:t>the</w:t>
      </w:r>
      <w:r w:rsidRPr="00D2345D">
        <w:t xml:space="preserve"> fami</w:t>
      </w:r>
      <w:r w:rsidR="00E55EE2">
        <w:t>lies that drive the effect.</w:t>
      </w:r>
      <w:proofErr w:type="gramEnd"/>
    </w:p>
    <w:p w14:paraId="7B696F0B" w14:textId="77777777" w:rsidR="00D2345D" w:rsidRPr="00D2345D" w:rsidRDefault="00D2345D" w:rsidP="00F617A6">
      <w:pPr>
        <w:pStyle w:val="Heading2"/>
        <w:rPr>
          <w:rFonts w:ascii="Times New Roman" w:hAnsi="Times New Roman" w:cs="Times New Roman"/>
          <w:b/>
          <w:bCs/>
          <w:sz w:val="36"/>
          <w:szCs w:val="36"/>
        </w:rPr>
      </w:pPr>
      <w:r w:rsidRPr="00D2345D">
        <w:t>Relating baseline and immune responses</w:t>
      </w:r>
    </w:p>
    <w:p w14:paraId="16D5E7BE" w14:textId="73C2DDA6" w:rsidR="00D2345D" w:rsidRPr="00D2345D" w:rsidRDefault="00D2345D" w:rsidP="00211BCA">
      <w:pPr>
        <w:rPr>
          <w:sz w:val="24"/>
          <w:szCs w:val="24"/>
        </w:rPr>
      </w:pPr>
      <w:r w:rsidRPr="00D2345D">
        <w:t xml:space="preserve">The baseline and vaccine-induced IgG response appeared to correspond with the microbiome in opposite ways. Within the family level proportional cluster analysis, groups of families that were associated with high concentrations of gp41 binding IgG also associated with low levels of vaccine-induced antibody responses at the 6.5 and </w:t>
      </w:r>
      <w:r w:rsidR="00F436F7" w:rsidRPr="00D2345D">
        <w:t>12-month</w:t>
      </w:r>
      <w:r w:rsidRPr="00D2345D">
        <w:t xml:space="preserve"> time-points. Surprisingly, microorg</w:t>
      </w:r>
      <w:r w:rsidR="00F436F7">
        <w:t xml:space="preserve">anisms associated with high day </w:t>
      </w:r>
      <w:proofErr w:type="gramStart"/>
      <w:r w:rsidRPr="00D2345D">
        <w:t>0 gp41</w:t>
      </w:r>
      <w:proofErr w:type="gramEnd"/>
      <w:r w:rsidRPr="00D2345D">
        <w:t xml:space="preserve"> IgGs were associated with low month 6.5 gp41 IgGs. Conversely, the proportional cluster that associated with low baseline Gp41 IgGs associated with high gp120, gp140 and gp70-v1v2 IgG responses to the vaccine. This pattern does not indicate that day0 gp41 response is itself related to vaccine immunogenicity. Direct assessments of the baseline gp41 binding and post-vaccination IgG revealed no </w:t>
      </w:r>
      <w:r w:rsidRPr="00D2345D">
        <w:lastRenderedPageBreak/>
        <w:t xml:space="preserve">significant associations (Fisher’s </w:t>
      </w:r>
      <w:r w:rsidR="00F436F7" w:rsidRPr="00D2345D">
        <w:t>exact</w:t>
      </w:r>
      <w:r w:rsidRPr="00D2345D">
        <w:t xml:space="preserve"> tests, all p &gt; 0.</w:t>
      </w:r>
      <w:r w:rsidR="00514D51">
        <w:t>0</w:t>
      </w:r>
      <w:r w:rsidRPr="00D2345D">
        <w:t xml:space="preserve">5). Rather it suggests that the microbial community that associates with low baseline response also associates with high vaccine immunogenicity. One possible mechanism for this relationship is the cross-reactivity of the immune system with gp41 analogues on bacteria. Bacteria that have gp41 analogues could elicit the production of antibodies that bind to gp41. These same bacteria could also cause the cross reactivity seen by Williams et al. (2015) thereby decreasing viral immunogenicity. One possible mechanism is that introducing a tolerogenic antigen (gp41 antigens through the gp140 epitope in the NYVAC) that </w:t>
      </w:r>
      <w:r w:rsidR="00F436F7" w:rsidRPr="00D2345D">
        <w:t>cross-reacts</w:t>
      </w:r>
      <w:r w:rsidRPr="00D2345D">
        <w:t xml:space="preserve"> with commensal microbial antigens results in enough tolerizing cytokine production and regulatory T cell activity to prevent strong vaccine immunogenicity and adjuvant responses from being generated.</w:t>
      </w:r>
    </w:p>
    <w:p w14:paraId="2728297C" w14:textId="77777777" w:rsidR="00D2345D" w:rsidRPr="00D2345D" w:rsidRDefault="00D2345D" w:rsidP="00F617A6">
      <w:pPr>
        <w:pStyle w:val="Heading2"/>
        <w:rPr>
          <w:rFonts w:ascii="Times New Roman" w:hAnsi="Times New Roman" w:cs="Times New Roman"/>
          <w:b/>
          <w:bCs/>
          <w:sz w:val="36"/>
          <w:szCs w:val="36"/>
        </w:rPr>
      </w:pPr>
      <w:r w:rsidRPr="00D2345D">
        <w:t>Caveats</w:t>
      </w:r>
    </w:p>
    <w:p w14:paraId="4ACC3C22" w14:textId="77777777" w:rsidR="00D2345D" w:rsidRPr="00D2345D" w:rsidRDefault="00D2345D" w:rsidP="00211BCA">
      <w:pPr>
        <w:rPr>
          <w:sz w:val="24"/>
          <w:szCs w:val="24"/>
        </w:rPr>
      </w:pPr>
      <w:r w:rsidRPr="00D2345D">
        <w:t>As we have indicated, the sample size for this study is small, with only 21 participants and this limits our power to illuminate the relation between the microbiome and the immune system. Our ability to detect global level patterns for each of the immune measurements that we investigated suggests that the pattern that we did detect is likely quite strong, otherwise, it would be difficult to have statistical significance with these sample sizes. On the other hand, the small sample size limits our ability to detect “local” level patterns</w:t>
      </w:r>
      <w:r w:rsidR="00067355">
        <w:t>;</w:t>
      </w:r>
      <w:r w:rsidRPr="00D2345D">
        <w:t xml:space="preserve"> and forced us to make broader comparisons</w:t>
      </w:r>
      <w:r w:rsidR="00067355">
        <w:t>,</w:t>
      </w:r>
      <w:r w:rsidRPr="00D2345D">
        <w:t xml:space="preserve"> by looking at proportional family level groups and weighted UniFrac measurements that describe “overall” community structure</w:t>
      </w:r>
      <w:r w:rsidR="00067355">
        <w:t>,</w:t>
      </w:r>
      <w:r w:rsidRPr="00D2345D">
        <w:t xml:space="preserve"> rather than specific organisms. We leave it to larger future studies, with larger sample sizes, to generate the statistical power to identify which microorganisms relate to vaccine response, and to test whether this observed pattern persists.</w:t>
      </w:r>
    </w:p>
    <w:p w14:paraId="182BC623" w14:textId="77777777" w:rsidR="00D2345D" w:rsidRPr="00D2345D" w:rsidRDefault="00D2345D" w:rsidP="00211BCA">
      <w:pPr>
        <w:rPr>
          <w:sz w:val="24"/>
          <w:szCs w:val="24"/>
        </w:rPr>
      </w:pPr>
      <w:r w:rsidRPr="00D2345D">
        <w:t>Indeed our approach in this study was exploratory. While we did test a range of hypotheses about immunological parameters that might be related to community structure, any observations of which microbes relate to these patterns are purely descriptive. This study involved many comparisons, comparing hundreds of SVs to eight immune measurements at multiple time-points. We applied several different statistical techniques and agglomerated the community structure to a range of levels to identify where patterns were strongest. We acknowledge that such an approach will necessarily generate spurious discoveries. We contend that while our data supports the hypothesis that the microbiome as a whole relates to vaccine response heterogeneity, our other observations are hypothesis generating. We provide here cohorts of microorganisms that may contain families that positively or negatively associated with vaccine response (Figure 4), allowing future studies to investigate which of these families consistently associated with vaccine response.</w:t>
      </w:r>
    </w:p>
    <w:p w14:paraId="625CE1C3" w14:textId="3FB3DA48" w:rsidR="00D2345D" w:rsidRPr="00D2345D" w:rsidRDefault="00D2345D" w:rsidP="00211BCA">
      <w:pPr>
        <w:rPr>
          <w:sz w:val="24"/>
          <w:szCs w:val="24"/>
        </w:rPr>
      </w:pPr>
      <w:r w:rsidRPr="00D2345D">
        <w:lastRenderedPageBreak/>
        <w:t>A key limitation of the HVTN 096 study overall was that</w:t>
      </w:r>
      <w:r w:rsidR="00514D51">
        <w:t>,</w:t>
      </w:r>
      <w:r w:rsidRPr="00D2345D">
        <w:t xml:space="preserve"> near completion of the clinical trial</w:t>
      </w:r>
      <w:r w:rsidR="00514D51">
        <w:t>,</w:t>
      </w:r>
      <w:r w:rsidRPr="00D2345D">
        <w:t xml:space="preserve"> the NYVAC vaccine was discovered to be contaminated with mycoplasma (Pantaleo et al. In Prep). It appeared that the vaccine generally worked as expected despite this contamination, but also it is likely that the mycoplasma also induced additional immune responses. This contamination could modulate the interaction between the immune system and microbiota in this study in a way that it might not with vaccines in the future</w:t>
      </w:r>
      <w:r w:rsidR="00514D51">
        <w:t>.</w:t>
      </w:r>
    </w:p>
    <w:p w14:paraId="204DE6C2" w14:textId="77777777" w:rsidR="00D2345D" w:rsidRPr="00D2345D" w:rsidRDefault="00D2345D" w:rsidP="00F617A6">
      <w:pPr>
        <w:pStyle w:val="Heading2"/>
        <w:rPr>
          <w:rFonts w:ascii="Times New Roman" w:hAnsi="Times New Roman" w:cs="Times New Roman"/>
          <w:b/>
          <w:bCs/>
          <w:sz w:val="36"/>
          <w:szCs w:val="36"/>
        </w:rPr>
      </w:pPr>
      <w:r w:rsidRPr="00D2345D">
        <w:t xml:space="preserve">Implications of the microbiome for vaccine development </w:t>
      </w:r>
    </w:p>
    <w:p w14:paraId="679A700C" w14:textId="355ACE44" w:rsidR="00D2345D" w:rsidRPr="00D2345D" w:rsidRDefault="00D2345D" w:rsidP="00211BCA">
      <w:pPr>
        <w:rPr>
          <w:sz w:val="24"/>
          <w:szCs w:val="24"/>
        </w:rPr>
      </w:pPr>
      <w:r w:rsidRPr="00D2345D">
        <w:t>Our findings expand the results of previous vaccine and immune literature. While the microbiome has been shown to impact efficacy of oral vaccines</w:t>
      </w:r>
      <w:r w:rsidR="00CC6AD6">
        <w:t xml:space="preserve"> </w:t>
      </w:r>
      <w:r w:rsidR="00CC6AD6">
        <w:fldChar w:fldCharType="begin"/>
      </w:r>
      <w:r w:rsidR="00CC6AD6">
        <w:instrText xml:space="preserve"> ADDIN ZOTERO_ITEM CSL_CITATION {"citationID":"mqUuBX7r","properties":{"formattedCitation":"(Harris et al., 2017; Huda et al., 2014; Lagos et al., 1999)","plainCitation":"(Harris et al., 2017; Huda et al., 2014; Lagos et al., 1999)","noteIndex":0},"citationItems":[{"id":299,"uris":["http://zotero.org/groups/1167044/items/PV9FM27M"],"uri":["http://zotero.org/groups/1167044/items/PV9FM27M"],"itemData":{"id":299,"type":"article-journal","title":"Significant correlation between the infant gut microbiome and rotavirus vaccine response in rural ghana","container-title":"The Journal of Infectious Diseases","page":"34-41","volume":"215","issue":"1","source":"academic.oup.com","DOI":"10.1093/infdis/jiw518","ISSN":"0022-1899","journalAbbreviation":"J Infect Dis","author":[{"family":"Harris","given":"Vanessa C."},{"family":"Armah","given":"George"},{"family":"Fuentes","given":"Susana"},{"family":"Korpela","given":"Katri E."},{"family":"Parashar","given":"Umesh"},{"family":"Victor","given":"John C."},{"family":"Tate","given":"Jacqueline"},{"family":"Weerth","given":"Carolina","non-dropping-particle":"de"},{"family":"Giaquinto","given":"Carlo"},{"family":"Wiersinga","given":"Willem Joost"},{"family":"Lewis","given":"Kristen D. C."},{"family":"Vos","given":"De"},{"family":"M","given":"Willem"}],"issued":{"date-parts":[["2017",1,1]]}}},{"id":3764,"uris":["http://zotero.org/groups/1167044/items/RIE2T7VD"],"uri":["http://zotero.org/groups/1167044/items/RIE2T7VD"],"itemData":{"id":3764,"type":"article-journal","title":"Stool microbiota and vaccine responses of infants","container-title":"Pediatrics","page":"e362-e372","volume":"134","issue":"2","source":"CrossRef","DOI":"10.1542/peds.2013-3937","ISSN":"0031-4005, 1098-4275","language":"en","author":[{"family":"Huda","given":"M. N."},{"family":"Lewis","given":"Z."},{"family":"Kalanetra","given":"K. M."},{"family":"Rashid","given":"M."},{"family":"Ahmad","given":"S. M."},{"family":"Raqib","given":"R."},{"family":"Qadri","given":"F."},{"family":"Underwood","given":"M. A."},{"family":"Mills","given":"D. A."},{"family":"Stephensen","given":"C. B."}],"issued":{"date-parts":[["2014",8,1]]}}},{"id":3735,"uris":["http://zotero.org/groups/1167044/items/IH7QCSBN"],"uri":["http://zotero.org/groups/1167044/items/IH7QCSBN"],"itemData":{"id":3735,"type":"article-journal","title":"Effect of Small Bowel Bacterial Overgrowth on the Immunogenicity of Single-Dose Live Oral Cholera Vaccine CVD 103-HgR","container-title":"The Journal of Infectious Diseases","page":"1709-1712","volume":"180","issue":"5","source":"JSTOR","abstract":"Several live oral vaccines (polio, bovine rotavirus, CVD 103-HgR cholera) are less immunogenic in developing than in industrialized countries. It was hypothesized that proximal small bowel bacterial overgrowth (common in children in less developed countries but rare in industrialized settings) diminishes the vibriocidal antibody response to CVD 103-HgR. In total, 202 fasting Santiago schoolchildren aged 5-9 years had lactulose breath H2 tests to detect proximal small bowel bacteria 1 day before ingesting CVD 103-HgR. Florid small bowel overgrowth was observed in 10 (5.6%) of 178 analyzable children. In children with florid overgrowth, vibriocidal seroconversion differed little from other children (60% vs. 67%), but the geometric mean titer was lower (160 vs. 368; P = .25). By logistic regression, increased peak breath$H_2$at small bowel time points was associated with diminished seroconversion (P = .04), as was the interaction of H₂ value and weight (children &gt;25 kg had lower seroconversion rates among subjects with heaviest overgrowth).","ISSN":"0022-1899","author":[{"family":"Lagos","given":"Rosanna"},{"family":"Fasano","given":"Alessio"},{"family":"Wasserman","given":"Steven S."},{"family":"Prado","given":"Valeria"},{"family":"San Martin","given":"Oriana"},{"family":"Abrego","given":"Paulina"},{"family":"Losonsky","given":"Genevieve A."},{"family":"Alegria","given":"Silvia"},{"family":"Levine","given":"Myron M."}],"issued":{"date-parts":[["1999"]]}}}],"schema":"https://github.com/citation-style-language/schema/raw/master/csl-citation.json"} </w:instrText>
      </w:r>
      <w:r w:rsidR="00CC6AD6">
        <w:fldChar w:fldCharType="separate"/>
      </w:r>
      <w:r w:rsidR="00CC6AD6" w:rsidRPr="00CC6AD6">
        <w:t>(Harris et al., 2017; Huda et al., 2014; Lagos et al., 1999)</w:t>
      </w:r>
      <w:r w:rsidR="00CC6AD6">
        <w:fldChar w:fldCharType="end"/>
      </w:r>
      <w:r w:rsidRPr="00D2345D">
        <w:t xml:space="preserve"> this is the first study, to our knowledge, to demonstrate statistical association between microbiome structure and immunogenicity of an HIV vaccine, delivered intramuscularly rather than orally. Our findings suggest that the mechanism of the microbiome’s effect on vaccine response is likely through more systemic immune processes. This study provides key evidence that some of the variability in the immune response to an HIV vaccine is related, at least in part, to variability in the microbiome. </w:t>
      </w:r>
    </w:p>
    <w:p w14:paraId="0E2CB874" w14:textId="1EF741BF" w:rsidR="00D2345D" w:rsidRDefault="00D2345D" w:rsidP="00F617A6">
      <w:pPr>
        <w:pStyle w:val="Heading1"/>
        <w:numPr>
          <w:ilvl w:val="0"/>
          <w:numId w:val="0"/>
        </w:numPr>
      </w:pPr>
      <w:r>
        <w:lastRenderedPageBreak/>
        <w:t>Figures and tables</w:t>
      </w:r>
      <w:r>
        <w:rPr>
          <w:noProof/>
        </w:rPr>
        <w:drawing>
          <wp:inline distT="0" distB="0" distL="0" distR="0" wp14:anchorId="50ED7981" wp14:editId="415B32D7">
            <wp:extent cx="4953000" cy="4953000"/>
            <wp:effectExtent l="0" t="0" r="0" b="0"/>
            <wp:docPr id="1" name="Picture 1" descr="https://lh3.googleusercontent.com/dvnTPVckowzofuKn9hlmv6BCqbcHIZVC5wzcAbxxdyIaGRkx7ZlhhRuLqC3JzHAjHT6nK6p9HBbE6GZjxt0Svm--ouNzpuUp5p6_a_UHuEiBS4gXUcFAnKaxQ8uWkm1Bew-I4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vnTPVckowzofuKn9hlmv6BCqbcHIZVC5wzcAbxxdyIaGRkx7ZlhhRuLqC3JzHAjHT6nK6p9HBbE6GZjxt0Svm--ouNzpuUp5p6_a_UHuEiBS4gXUcFAnKaxQ8uWkm1Bew-I4Er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t xml:space="preserve"> </w:t>
      </w:r>
    </w:p>
    <w:p w14:paraId="64ACFB67" w14:textId="77777777" w:rsidR="00D2345D" w:rsidRPr="005F4998" w:rsidRDefault="00D2345D" w:rsidP="005F4998">
      <w:pPr>
        <w:pStyle w:val="Heading3"/>
      </w:pPr>
      <w:r w:rsidRPr="005F4998">
        <w:t xml:space="preserve">Figure 1: Concentration of antibodies over time among study participants whose microbiomes were sequenced. Study participants were vaccinated at four time-points, indicated by blue tick marks, following the regimen described in the methods.  Magnitude of each IgG antibody were measured using the BAMA assay. In all treatments, IgG concentrations increased over the vaccination series reaching a maximum value that varied between participants at the </w:t>
      </w:r>
      <w:r w:rsidR="00067355" w:rsidRPr="005F4998">
        <w:t>6.5-month</w:t>
      </w:r>
      <w:r w:rsidRPr="005F4998">
        <w:t xml:space="preserve"> time point, two weeks after the final vaccination. Each observed IgG concentr</w:t>
      </w:r>
      <w:r w:rsidR="00067355" w:rsidRPr="005F4998">
        <w:t>ation decreased between the 6.5-</w:t>
      </w:r>
      <w:r w:rsidRPr="005F4998">
        <w:t xml:space="preserve">month (primary) and </w:t>
      </w:r>
      <w:r w:rsidR="00067355" w:rsidRPr="005F4998">
        <w:t>12-month</w:t>
      </w:r>
      <w:r w:rsidRPr="005F4998">
        <w:t xml:space="preserve"> (final) time point for all participants, again with this final IgG concentration variable between participants. In the control group, antibodies against gp41 and p24 were present at measura</w:t>
      </w:r>
      <w:r w:rsidR="00067355" w:rsidRPr="005F4998">
        <w:t>ble levels at a</w:t>
      </w:r>
      <w:r w:rsidRPr="005F4998">
        <w:t>l</w:t>
      </w:r>
      <w:r w:rsidR="00067355" w:rsidRPr="005F4998">
        <w:t>l</w:t>
      </w:r>
      <w:r w:rsidRPr="005F4998">
        <w:t xml:space="preserve"> </w:t>
      </w:r>
      <w:r w:rsidR="00067355" w:rsidRPr="005F4998">
        <w:t>time-points</w:t>
      </w:r>
      <w:r w:rsidRPr="005F4998">
        <w:t>; the other antibodies were low or below detection throughout.  </w:t>
      </w:r>
    </w:p>
    <w:p w14:paraId="2E86DFD0" w14:textId="03D60C4D" w:rsidR="00D2345D" w:rsidRDefault="00514D51" w:rsidP="00211BCA">
      <w:r>
        <w:rPr>
          <w:rFonts w:ascii="Arial" w:hAnsi="Arial" w:cs="Arial"/>
          <w:noProof/>
        </w:rPr>
        <w:lastRenderedPageBreak/>
        <w:drawing>
          <wp:inline distT="0" distB="0" distL="0" distR="0" wp14:anchorId="12649ABF" wp14:editId="28861B71">
            <wp:extent cx="5943600" cy="2971800"/>
            <wp:effectExtent l="0" t="0" r="0" b="0"/>
            <wp:docPr id="13" name="Picture 13" descr="https://lh6.googleusercontent.com/6UPB2aUs90e789SV0emJpuUcRVVCgTJqsLmoxUmlfxS9foT9XwJaPLDfNu97lzHxGfbam9KXkoYVnbXqLywbI_9IkgufRl2_Wo0wDFRaMNh1AYrvbDNVQtgqR6BK0Y27ZIm2lG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UPB2aUs90e789SV0emJpuUcRVVCgTJqsLmoxUmlfxS9foT9XwJaPLDfNu97lzHxGfbam9KXkoYVnbXqLywbI_9IkgufRl2_Wo0wDFRaMNh1AYrvbDNVQtgqR6BK0Y27ZIm2lG9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44F500" w14:textId="675726FB" w:rsidR="00D2345D" w:rsidRDefault="00D2345D" w:rsidP="005F4998">
      <w:pPr>
        <w:pStyle w:val="Heading3"/>
      </w:pPr>
      <w:r>
        <w:t xml:space="preserve">Figure 2. Principal coordinates analysis of weighted UniFrac distance between participants. The first </w:t>
      </w:r>
      <w:proofErr w:type="gramStart"/>
      <w:r>
        <w:t>two weighted</w:t>
      </w:r>
      <w:proofErr w:type="gramEnd"/>
      <w:r>
        <w:t xml:space="preserve"> UniFrac principal coordinates account for 29.1% and 17.2% of variance between participants. Positions of points in subplots are identical. Points in A are color coded by whether gp41 IgG concentration at day 0 is greater than or equal to (high - yellow) or lower than the median (low - blue). B is colo</w:t>
      </w:r>
      <w:r w:rsidR="00514D51">
        <w:t xml:space="preserve">r coded by the </w:t>
      </w:r>
      <w:r>
        <w:t>Con 6 gp120 IgG concentration.</w:t>
      </w:r>
    </w:p>
    <w:p w14:paraId="7B77AA95" w14:textId="77777777" w:rsidR="00D2345D" w:rsidRDefault="00D2345D" w:rsidP="00211BCA"/>
    <w:p w14:paraId="38D80F10" w14:textId="77777777" w:rsidR="00D2345D" w:rsidRDefault="00D2345D" w:rsidP="00211BCA">
      <w:pPr>
        <w:pStyle w:val="NormalWeb"/>
      </w:pPr>
      <w:r>
        <w:rPr>
          <w:noProof/>
        </w:rPr>
        <w:lastRenderedPageBreak/>
        <w:drawing>
          <wp:inline distT="0" distB="0" distL="0" distR="0" wp14:anchorId="62BA27F0" wp14:editId="1A9B071E">
            <wp:extent cx="4914900" cy="4676775"/>
            <wp:effectExtent l="0" t="0" r="0" b="9525"/>
            <wp:docPr id="12" name="Picture 12" descr="https://lh6.googleusercontent.com/R15usFXkJShKq-k6BV0DbOv19b7EIWqJDuMre2DMGSj-uLEbpHx79Ap1zYlrE8ZDlw3RR58cz-LGLguw636l8L-zWhlda7PjDKsH0nE1SDt3I2re4hQ0A5ahzS5BfYRjhkIP5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15usFXkJShKq-k6BV0DbOv19b7EIWqJDuMre2DMGSj-uLEbpHx79Ap1zYlrE8ZDlw3RR58cz-LGLguw636l8L-zWhlda7PjDKsH0nE1SDt3I2re4hQ0A5ahzS5BfYRjhkIP5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4676775"/>
                    </a:xfrm>
                    <a:prstGeom prst="rect">
                      <a:avLst/>
                    </a:prstGeom>
                    <a:noFill/>
                    <a:ln>
                      <a:noFill/>
                    </a:ln>
                  </pic:spPr>
                </pic:pic>
              </a:graphicData>
            </a:graphic>
          </wp:inline>
        </w:drawing>
      </w:r>
    </w:p>
    <w:p w14:paraId="53C6B93F" w14:textId="77777777" w:rsidR="00D2345D" w:rsidRDefault="00D2345D" w:rsidP="00211BCA"/>
    <w:p w14:paraId="09BD76F6" w14:textId="77777777" w:rsidR="00D2345D" w:rsidRDefault="00D2345D" w:rsidP="005F4998">
      <w:pPr>
        <w:pStyle w:val="Heading3"/>
      </w:pPr>
      <w:r>
        <w:t xml:space="preserve">Table 1. Significance values of kernel regression tests, and coefficients and significance values </w:t>
      </w:r>
      <w:proofErr w:type="spellStart"/>
      <w:r>
        <w:t>oflogistic</w:t>
      </w:r>
      <w:proofErr w:type="spellEnd"/>
      <w:r>
        <w:t xml:space="preserve"> regression models. In all cases, antibody concentrations are treated as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w:t>
      </w:r>
      <w:proofErr w:type="spellStart"/>
      <w:r>
        <w:t>the</w:t>
      </w:r>
      <w:proofErr w:type="spellEnd"/>
      <w:r>
        <w:t xml:space="preserve"> variables of interest. Coefficients tell </w:t>
      </w:r>
      <w:proofErr w:type="gramStart"/>
      <w:r>
        <w:t xml:space="preserve">us of the </w:t>
      </w:r>
      <w:r w:rsidR="00067355">
        <w:t xml:space="preserve">direction </w:t>
      </w:r>
      <w:r>
        <w:t xml:space="preserve">and </w:t>
      </w:r>
      <w:r w:rsidR="00067355">
        <w:t xml:space="preserve">strength </w:t>
      </w:r>
      <w:r>
        <w:t>of the association</w:t>
      </w:r>
      <w:proofErr w:type="gramEnd"/>
      <w:r>
        <w:t>. R</w:t>
      </w:r>
      <w:r w:rsidR="00067355" w:rsidRPr="00067355">
        <w:rPr>
          <w:vertAlign w:val="superscript"/>
        </w:rPr>
        <w:t>2</w:t>
      </w:r>
      <w:r>
        <w:rPr>
          <w:sz w:val="13"/>
          <w:szCs w:val="13"/>
          <w:vertAlign w:val="superscript"/>
        </w:rPr>
        <w:t>2</w:t>
      </w:r>
      <w:r>
        <w:t xml:space="preserve"> </w:t>
      </w:r>
      <w:r w:rsidR="00067355">
        <w:t>indicates</w:t>
      </w:r>
      <w:r>
        <w:t xml:space="preserve"> McFadden’s pseudo R</w:t>
      </w:r>
      <w:r w:rsidR="00067355" w:rsidRPr="00067355">
        <w:rPr>
          <w:vertAlign w:val="superscript"/>
        </w:rPr>
        <w:t>2</w:t>
      </w:r>
      <w:r>
        <w:rPr>
          <w:sz w:val="13"/>
          <w:szCs w:val="13"/>
          <w:vertAlign w:val="superscript"/>
        </w:rPr>
        <w:t>2</w:t>
      </w:r>
      <w:r>
        <w:t xml:space="preserve">, </w:t>
      </w:r>
      <w:r w:rsidR="00067355">
        <w:t xml:space="preserve">p-values are calculated by permutation (Kernel regression) and directly (weighted </w:t>
      </w:r>
      <w:proofErr w:type="spellStart"/>
      <w:r w:rsidR="00067355">
        <w:t>Unifrac</w:t>
      </w:r>
      <w:proofErr w:type="spellEnd"/>
      <w:r w:rsidR="00067355">
        <w:t xml:space="preserve"> Regression)</w:t>
      </w:r>
      <w:r>
        <w:t xml:space="preserve">, and q-values are calculated using the </w:t>
      </w:r>
      <w:proofErr w:type="spellStart"/>
      <w:r>
        <w:t>bioconductor</w:t>
      </w:r>
      <w:proofErr w:type="spellEnd"/>
      <w:r>
        <w:t xml:space="preserve"> q-value package (</w:t>
      </w:r>
      <w:proofErr w:type="spellStart"/>
      <w:r>
        <w:t>Storey</w:t>
      </w:r>
      <w:proofErr w:type="spellEnd"/>
      <w:r>
        <w:t>, 2002). Yellow highlighting indicates statistically significant P (&lt;0.05) and Q (&lt;0.20) values. Regression coefficients corresponding to statistically significant p and q-value values are color-coded according to their sign.</w:t>
      </w:r>
    </w:p>
    <w:p w14:paraId="44898360" w14:textId="77777777" w:rsidR="00D2345D" w:rsidRDefault="00D2345D" w:rsidP="00211BCA">
      <w:pPr>
        <w:pStyle w:val="NormalWeb"/>
      </w:pPr>
      <w:r>
        <w:rPr>
          <w:noProof/>
        </w:rPr>
        <w:lastRenderedPageBreak/>
        <w:drawing>
          <wp:inline distT="0" distB="0" distL="0" distR="0" wp14:anchorId="486CD713" wp14:editId="1283D131">
            <wp:extent cx="5219700" cy="2990850"/>
            <wp:effectExtent l="0" t="0" r="0" b="0"/>
            <wp:docPr id="11" name="Picture 11" descr="https://lh5.googleusercontent.com/mN2KOUn1oMne4OTDQqSAOlOPr-912RRYly2ivpbyZv8Ls49o9zORScMiELSWaR88uTJOozdJH2bEgNsGk3oeWLyIbVUfkzLtETHVF4597ouji5gg7r1Lyej0OjwzzTFIIKOMWF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N2KOUn1oMne4OTDQqSAOlOPr-912RRYly2ivpbyZv8Ls49o9zORScMiELSWaR88uTJOozdJH2bEgNsGk3oeWLyIbVUfkzLtETHVF4597ouji5gg7r1Lyej0OjwzzTFIIKOMWFN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14:paraId="6A81C2B4" w14:textId="77777777" w:rsidR="00D2345D" w:rsidRDefault="00D2345D" w:rsidP="005F4998">
      <w:pPr>
        <w:pStyle w:val="Heading3"/>
      </w:pPr>
      <w:r>
        <w:t xml:space="preserve">Figure 3. Stacked bar plots showing relative abundance of taxonomic groups composing participants’ microbiota. In all cases participants are ordered from left to right according to where their microbiota falls along weighted UniFrac, </w:t>
      </w:r>
      <w:proofErr w:type="spellStart"/>
      <w:r>
        <w:t>PCoA</w:t>
      </w:r>
      <w:proofErr w:type="spellEnd"/>
      <w:r>
        <w:t xml:space="preserve"> axis 1 (Figure 2). </w:t>
      </w:r>
      <w:proofErr w:type="gramStart"/>
      <w:r>
        <w:rPr>
          <w:b/>
          <w:bCs/>
        </w:rPr>
        <w:t>A</w:t>
      </w:r>
      <w:proofErr w:type="gramEnd"/>
      <w:r>
        <w:t xml:space="preserve"> All taxa at phylum level. </w:t>
      </w:r>
      <w:r>
        <w:rPr>
          <w:b/>
          <w:bCs/>
        </w:rPr>
        <w:t>B</w:t>
      </w:r>
      <w:r>
        <w:t xml:space="preserve">. All families within Order Clostridiales, all of which fall within Class Clostridia. </w:t>
      </w:r>
      <w:r>
        <w:rPr>
          <w:b/>
          <w:bCs/>
        </w:rPr>
        <w:t>C.</w:t>
      </w:r>
      <w:r>
        <w:t xml:space="preserve"> All families within Order </w:t>
      </w:r>
      <w:proofErr w:type="spellStart"/>
      <w:r>
        <w:t>Bactereoidales</w:t>
      </w:r>
      <w:proofErr w:type="spellEnd"/>
      <w:r>
        <w:t xml:space="preserve">, all of which are in the Class </w:t>
      </w:r>
      <w:proofErr w:type="spellStart"/>
      <w:r>
        <w:t>Bacteroidetes</w:t>
      </w:r>
      <w:proofErr w:type="spellEnd"/>
      <w:r>
        <w:t xml:space="preserve">. </w:t>
      </w:r>
      <w:r>
        <w:rPr>
          <w:b/>
          <w:bCs/>
        </w:rPr>
        <w:t>D</w:t>
      </w:r>
      <w:r>
        <w:t xml:space="preserve">. Genera within the family Clostridiales </w:t>
      </w:r>
      <w:proofErr w:type="spellStart"/>
      <w:r>
        <w:t>Incertae</w:t>
      </w:r>
      <w:proofErr w:type="spellEnd"/>
      <w:r>
        <w:t xml:space="preserve"> </w:t>
      </w:r>
      <w:proofErr w:type="spellStart"/>
      <w:r>
        <w:t>Sedis</w:t>
      </w:r>
      <w:proofErr w:type="spellEnd"/>
      <w:r>
        <w:t xml:space="preserve"> XI.</w:t>
      </w:r>
    </w:p>
    <w:p w14:paraId="0F176283" w14:textId="77777777" w:rsidR="00D2345D" w:rsidRDefault="00D2345D" w:rsidP="00211BCA"/>
    <w:p w14:paraId="0F2AFD61" w14:textId="77777777" w:rsidR="00D2345D" w:rsidRDefault="00D2345D" w:rsidP="00211BCA">
      <w:pPr>
        <w:pStyle w:val="NormalWeb"/>
      </w:pPr>
      <w:r>
        <w:rPr>
          <w:noProof/>
        </w:rPr>
        <w:lastRenderedPageBreak/>
        <w:drawing>
          <wp:inline distT="0" distB="0" distL="0" distR="0" wp14:anchorId="65FCFDBF" wp14:editId="359F6406">
            <wp:extent cx="5943600" cy="6200775"/>
            <wp:effectExtent l="0" t="0" r="0" b="9525"/>
            <wp:docPr id="10" name="Picture 10" descr="https://lh6.googleusercontent.com/7uDpXNQhTmHeOHmqJOd9oig9bG_JVBaYdu6TtLQ7Fd5XL_ykF1WpfzguSCh75Ux2CgmDSJtugNqqGWXxTJdlk1aS0BxuJVBm6XnRVF1m_1klcGoexpFkOGVjdYYJK6np62wPiD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uDpXNQhTmHeOHmqJOd9oig9bG_JVBaYdu6TtLQ7Fd5XL_ykF1WpfzguSCh75Ux2CgmDSJtugNqqGWXxTJdlk1aS0BxuJVBm6XnRVF1m_1klcGoexpFkOGVjdYYJK6np62wPiDA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7F473825" w14:textId="77777777" w:rsidR="00D2345D" w:rsidRDefault="00D2345D" w:rsidP="005F4998">
      <w:pPr>
        <w:pStyle w:val="Heading3"/>
      </w:pPr>
      <w:r>
        <w:t>Figure 4. Heat</w:t>
      </w:r>
      <w:r w:rsidR="00067355">
        <w:t>-</w:t>
      </w:r>
      <w:r>
        <w:t xml:space="preserve">map of </w:t>
      </w:r>
      <w:r w:rsidR="00067355">
        <w:t>Φ (Lovell et al. 2015)</w:t>
      </w:r>
      <w:r>
        <w:t>, a measure of proportionality between different family level groups and a summary of which of those families appear to correlate in a statistically meaningful way with gp41 and gp120 response.  In the upper panel (</w:t>
      </w:r>
      <w:proofErr w:type="spellStart"/>
      <w:r>
        <w:t>heatmap</w:t>
      </w:r>
      <w:proofErr w:type="spellEnd"/>
      <w:r>
        <w:t xml:space="preserve">), each row and column are a family level taxon. Redder cells indicate lower </w:t>
      </w:r>
      <w:r w:rsidR="00067355">
        <w:t>Φ</w:t>
      </w:r>
      <w:r>
        <w:t xml:space="preserve"> scores, which demonstrate higher statistical association between the pair of families. The dots in the lower panel (dot-grid) indicate IgG binding antibodies specific to each </w:t>
      </w:r>
      <w:r w:rsidR="00067355">
        <w:t>antigen</w:t>
      </w:r>
      <w:r>
        <w:t xml:space="preserve"> at each time points (y-axis) associate in a statistically significant way with each family level taxon (x-axis). Blue dots indicate that a family level group is positively associated with a particular antibody response at a given time point. </w:t>
      </w:r>
    </w:p>
    <w:p w14:paraId="79BC05A8" w14:textId="5F7DB130" w:rsidR="00D2345D" w:rsidRDefault="00D2345D" w:rsidP="00F617A6">
      <w:pPr>
        <w:pStyle w:val="Heading1"/>
      </w:pPr>
      <w:r>
        <w:t>Supplemental figures and tables</w:t>
      </w:r>
      <w:r w:rsidR="007B4C60">
        <w:t xml:space="preserve"> and data</w:t>
      </w:r>
      <w:r>
        <w:rPr>
          <w:noProof/>
        </w:rPr>
        <w:drawing>
          <wp:inline distT="0" distB="0" distL="0" distR="0" wp14:anchorId="3ECD19A4" wp14:editId="5D5D6BCA">
            <wp:extent cx="5019675" cy="4619625"/>
            <wp:effectExtent l="0" t="0" r="9525" b="9525"/>
            <wp:docPr id="9" name="Picture 9" descr="https://lh6.googleusercontent.com/7XPHDLugzlN3FHtBQLc0zQNQ4PEcmYN7ymZscoOM3o02UeY2sC8HMaV-0ugU54yJeyZvsfR3JiNRI_Ugz2DUSmSsKXNc9Wd56wUcsGvMWlnbeI6JZjR6VmHs3hecq0VKmIirb5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7XPHDLugzlN3FHtBQLc0zQNQ4PEcmYN7ymZscoOM3o02UeY2sC8HMaV-0ugU54yJeyZvsfR3JiNRI_Ugz2DUSmSsKXNc9Wd56wUcsGvMWlnbeI6JZjR6VmHs3hecq0VKmIirb5q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4619625"/>
                    </a:xfrm>
                    <a:prstGeom prst="rect">
                      <a:avLst/>
                    </a:prstGeom>
                    <a:noFill/>
                    <a:ln>
                      <a:noFill/>
                    </a:ln>
                  </pic:spPr>
                </pic:pic>
              </a:graphicData>
            </a:graphic>
          </wp:inline>
        </w:drawing>
      </w:r>
    </w:p>
    <w:p w14:paraId="76FAE0E4" w14:textId="627685DB" w:rsidR="00D2345D" w:rsidRDefault="00D2345D" w:rsidP="005F4998">
      <w:pPr>
        <w:pStyle w:val="Heading3"/>
      </w:pPr>
      <w:r>
        <w:t xml:space="preserve">Table S1.  Significance values of kernel regression tests, and coefficients and significance values of binomial general linear models. This table mirrors Table 1, with the exception that here, antibody concentrations are treated as continuous, box-cox transformed variables, rather than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variables of interest. Coefficients </w:t>
      </w:r>
      <w:r w:rsidR="00571C8E">
        <w:t xml:space="preserve">show </w:t>
      </w:r>
      <w:r>
        <w:t>the strength and direction of the association. R</w:t>
      </w:r>
      <w:r w:rsidRPr="00067355">
        <w:rPr>
          <w:vertAlign w:val="superscript"/>
        </w:rPr>
        <w:t>2</w:t>
      </w:r>
      <w:r>
        <w:t xml:space="preserve"> </w:t>
      </w:r>
      <w:proofErr w:type="spellStart"/>
      <w:r>
        <w:t>inidates</w:t>
      </w:r>
      <w:proofErr w:type="spellEnd"/>
      <w:r>
        <w:t xml:space="preserve"> McFadden’s pseudo R</w:t>
      </w:r>
      <w:r w:rsidRPr="00067355">
        <w:rPr>
          <w:vertAlign w:val="superscript"/>
        </w:rPr>
        <w:t>2</w:t>
      </w:r>
      <w:r>
        <w:t xml:space="preserve">, p-values the </w:t>
      </w:r>
      <w:proofErr w:type="gramStart"/>
      <w:r>
        <w:t>significance,</w:t>
      </w:r>
      <w:proofErr w:type="gramEnd"/>
      <w:r>
        <w:t xml:space="preserve"> and q-values are calculated using the </w:t>
      </w:r>
      <w:proofErr w:type="spellStart"/>
      <w:r>
        <w:t>bioconductor</w:t>
      </w:r>
      <w:proofErr w:type="spellEnd"/>
      <w:r>
        <w:t xml:space="preserve"> q-value package (</w:t>
      </w:r>
      <w:proofErr w:type="spellStart"/>
      <w:r>
        <w:t>Storey</w:t>
      </w:r>
      <w:proofErr w:type="spellEnd"/>
      <w:r>
        <w:t xml:space="preserve">, 2002). Yellow highlighting indicates statistically significant P (&lt;0.05) and Q (&lt;0.20) values. Regressions </w:t>
      </w:r>
      <w:r>
        <w:lastRenderedPageBreak/>
        <w:t>coefficients corresponding to statistically significant p and q-value values are color-coded according to their sign.</w:t>
      </w:r>
    </w:p>
    <w:p w14:paraId="119289E9" w14:textId="77777777" w:rsidR="00D2345D" w:rsidRDefault="00D2345D" w:rsidP="00211BCA">
      <w:pPr>
        <w:pStyle w:val="NormalWeb"/>
      </w:pPr>
      <w:r>
        <w:rPr>
          <w:noProof/>
        </w:rPr>
        <w:drawing>
          <wp:inline distT="0" distB="0" distL="0" distR="0" wp14:anchorId="63FCFB99" wp14:editId="7B4D06E7">
            <wp:extent cx="5943600" cy="5372100"/>
            <wp:effectExtent l="0" t="0" r="0" b="0"/>
            <wp:docPr id="8" name="Picture 8" descr="https://lh3.googleusercontent.com/3AXXCE-C8qb37b7KL817tMjcsZevS49U4n2dJW-B_paPPVnRG24q37aYHH2H5yy3DQJaxabZ-GtAbSUMdyBMP8djec1vEzCUH3s8SjvBQ8b8Mcp68e7atZIkRQGY-PKq3YfauN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AXXCE-C8qb37b7KL817tMjcsZevS49U4n2dJW-B_paPPVnRG24q37aYHH2H5yy3DQJaxabZ-GtAbSUMdyBMP8djec1vEzCUH3s8SjvBQ8b8Mcp68e7atZIkRQGY-PKq3YfauNQ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3DC16585" w14:textId="77777777" w:rsidR="00D2345D" w:rsidRDefault="00D2345D" w:rsidP="005F4998">
      <w:pPr>
        <w:pStyle w:val="Heading3"/>
      </w:pPr>
      <w:r>
        <w:t xml:space="preserve">Table S2. P-values of logistic regressions between UniFrac </w:t>
      </w:r>
      <w:proofErr w:type="spellStart"/>
      <w:r>
        <w:t>PCoA</w:t>
      </w:r>
      <w:proofErr w:type="spellEnd"/>
      <w:r>
        <w:t xml:space="preserve"> components 1-10 and the median split transformed concentrations of the antibodies described in Table 1. </w:t>
      </w:r>
    </w:p>
    <w:p w14:paraId="3F6069CC" w14:textId="77777777" w:rsidR="00D2345D" w:rsidRDefault="00D2345D" w:rsidP="00211BCA"/>
    <w:p w14:paraId="2F444F43" w14:textId="77777777" w:rsidR="007B4C60" w:rsidRPr="00401F49" w:rsidRDefault="007B4C60" w:rsidP="00401F49"/>
    <w:p w14:paraId="5909D9B5" w14:textId="77777777" w:rsidR="00D2345D" w:rsidRDefault="00D2345D" w:rsidP="005F4998">
      <w:r>
        <w:rPr>
          <w:noProof/>
        </w:rPr>
        <w:lastRenderedPageBreak/>
        <w:drawing>
          <wp:inline distT="0" distB="0" distL="0" distR="0" wp14:anchorId="550EC274" wp14:editId="3246C3C5">
            <wp:extent cx="5943600" cy="5943600"/>
            <wp:effectExtent l="0" t="0" r="0" b="0"/>
            <wp:docPr id="7" name="Picture 7" descr="https://lh3.googleusercontent.com/sO2MElsgc9ge4bv28VRP1Qn2rpcNoyCnXuiRUARKcHMggZi0fmWL5qbUHAo3ybKo9etYZISmxWrs5FyM0zjRIrex6CvwZ27hdbQlHT74Qek92QpLjqzk2aETT0drurJschuOVj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O2MElsgc9ge4bv28VRP1Qn2rpcNoyCnXuiRUARKcHMggZi0fmWL5qbUHAo3ybKo9etYZISmxWrs5FyM0zjRIrex6CvwZ27hdbQlHT74Qek92QpLjqzk2aETT0drurJschuOVj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9F1EB37" w14:textId="77777777" w:rsidR="00D2345D" w:rsidRDefault="00D2345D" w:rsidP="005F4998">
      <w:pPr>
        <w:pStyle w:val="Heading3"/>
      </w:pPr>
      <w:r>
        <w:t>Figure S1A. Concentration of IgG binding antibodies over time among all study partic</w:t>
      </w:r>
      <w:r w:rsidR="00067355">
        <w:t>ipants, including those without</w:t>
      </w:r>
      <w:r>
        <w:t> microbiota sequencing. This figure otherwise mirrors Figure 1.</w:t>
      </w:r>
    </w:p>
    <w:p w14:paraId="00D97D7E" w14:textId="77777777" w:rsidR="00D2345D" w:rsidRDefault="00D2345D" w:rsidP="00211BCA"/>
    <w:p w14:paraId="32AFFC74" w14:textId="77777777" w:rsidR="00D2345D" w:rsidRDefault="00D2345D" w:rsidP="00211BCA">
      <w:pPr>
        <w:pStyle w:val="NormalWeb"/>
      </w:pPr>
      <w:r>
        <w:rPr>
          <w:noProof/>
        </w:rPr>
        <w:lastRenderedPageBreak/>
        <w:drawing>
          <wp:inline distT="0" distB="0" distL="0" distR="0" wp14:anchorId="5FD1180F" wp14:editId="7394D9D4">
            <wp:extent cx="5943600" cy="5943600"/>
            <wp:effectExtent l="0" t="0" r="0" b="0"/>
            <wp:docPr id="6" name="Picture 6" descr="https://lh6.googleusercontent.com/af3OlWMpLszOfW8U-zQcxiqjcYGgOlrpdy2txEQO_EM8HAPSHS4NK8TfJ2LENA5QsWPKr_TOdKI6BhlWCCzynKzL8vJnX6uEOX0PvXLY5nEW7G86GPj5JjMbmNpg8_LLwaeeTg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f3OlWMpLszOfW8U-zQcxiqjcYGgOlrpdy2txEQO_EM8HAPSHS4NK8TfJ2LENA5QsWPKr_TOdKI6BhlWCCzynKzL8vJnX6uEOX0PvXLY5nEW7G86GPj5JjMbmNpg8_LLwaeeTgF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474B207" w14:textId="50F7F069" w:rsidR="00D2345D" w:rsidRDefault="00D2345D" w:rsidP="005F4998">
      <w:pPr>
        <w:pStyle w:val="Heading3"/>
      </w:pPr>
      <w:r>
        <w:t xml:space="preserve">Figure </w:t>
      </w:r>
      <w:r w:rsidR="005F4998">
        <w:t xml:space="preserve">S1B. </w:t>
      </w:r>
      <w:r>
        <w:t xml:space="preserve">Concentration of IgA binding antibodies, and </w:t>
      </w:r>
      <w:proofErr w:type="spellStart"/>
      <w:r>
        <w:t>Env</w:t>
      </w:r>
      <w:proofErr w:type="spellEnd"/>
      <w:r>
        <w:t xml:space="preserve"> specific CD4+ Helper cells for all study participants</w:t>
      </w:r>
    </w:p>
    <w:p w14:paraId="2BDE8B40" w14:textId="77777777" w:rsidR="00D2345D" w:rsidRDefault="00D2345D" w:rsidP="00211BCA">
      <w:pPr>
        <w:pStyle w:val="NormalWeb"/>
      </w:pPr>
      <w:r>
        <w:rPr>
          <w:noProof/>
        </w:rPr>
        <w:lastRenderedPageBreak/>
        <w:drawing>
          <wp:inline distT="0" distB="0" distL="0" distR="0" wp14:anchorId="307586D0" wp14:editId="27C1A983">
            <wp:extent cx="5943600" cy="7924800"/>
            <wp:effectExtent l="0" t="0" r="0" b="0"/>
            <wp:docPr id="5" name="Picture 5" descr="https://lh4.googleusercontent.com/BY8g_WdtpclbTUkZPQZXB_xz9ivBigcRBFOVQpIu1pe7Zmp14-awr--H-6jAT7Z5xaLXm2_XIDd4Lol9BDAAIyGh7sk5tamBqf6BPms24tCi7dmgMf2BQpAeilVaq5OJXER5QM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Y8g_WdtpclbTUkZPQZXB_xz9ivBigcRBFOVQpIu1pe7Zmp14-awr--H-6jAT7Z5xaLXm2_XIDd4Lol9BDAAIyGh7sk5tamBqf6BPms24tCi7dmgMf2BQpAeilVaq5OJXER5QM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390EA23" w14:textId="77777777" w:rsidR="00D2345D" w:rsidRDefault="00D2345D" w:rsidP="00211BCA"/>
    <w:p w14:paraId="3972EE4F" w14:textId="77777777" w:rsidR="00D2345D" w:rsidRDefault="00D2345D" w:rsidP="005F4998">
      <w:pPr>
        <w:pStyle w:val="Heading3"/>
      </w:pPr>
      <w:r>
        <w:t xml:space="preserve">Figure S2. Kernel regression p-values of using kernels calculated from Jensen-Shannon distance matrices calculated from SV tables that have been agglomerated to different (Phylum through species level) taxonomic levels. Squares indicate omnibus </w:t>
      </w:r>
      <w:r w:rsidR="00067355">
        <w:t>p</w:t>
      </w:r>
      <w:r>
        <w:t>-values, which indicate whether there is a statistically meaningful hit at any taxonomic level, adjusting for multiple comparisons (Zhao et al., 2015). Triangles indicate kernel regression p-values for weighted UniFrac scores, and are identical to ones reported in Tables 1 and S1.</w:t>
      </w:r>
    </w:p>
    <w:p w14:paraId="092D27A1" w14:textId="77777777" w:rsidR="00D2345D" w:rsidRDefault="00D2345D" w:rsidP="00211BCA"/>
    <w:p w14:paraId="2455FBE5" w14:textId="77777777" w:rsidR="00D2345D" w:rsidRDefault="00D2345D" w:rsidP="00211BCA">
      <w:pPr>
        <w:pStyle w:val="NormalWeb"/>
      </w:pPr>
      <w:r>
        <w:lastRenderedPageBreak/>
        <w:t>A</w:t>
      </w:r>
      <w:r>
        <w:rPr>
          <w:noProof/>
        </w:rPr>
        <w:drawing>
          <wp:inline distT="0" distB="0" distL="0" distR="0" wp14:anchorId="4B90D929" wp14:editId="0EE7DA2E">
            <wp:extent cx="5943600" cy="5943600"/>
            <wp:effectExtent l="0" t="0" r="0" b="0"/>
            <wp:docPr id="4" name="Picture 4" descr="https://lh6.googleusercontent.com/Sq2i-NRxcDGB68TBmFVWzvQ98Os3cMv-AZaubtT9ZVx4Pwk-PBsqCys88X3jAEvj003eOwfZqA1jXlV66c2p7SYxbKX0gZbQfwaRJ3nfP428tjA-n_zVdBl-chKyrPaZkit3x_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q2i-NRxcDGB68TBmFVWzvQ98Os3cMv-AZaubtT9ZVx4Pwk-PBsqCys88X3jAEvj003eOwfZqA1jXlV66c2p7SYxbKX0gZbQfwaRJ3nfP428tjA-n_zVdBl-chKyrPaZkit3x_1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AD40B5" w14:textId="77777777" w:rsidR="00D2345D" w:rsidRDefault="00D2345D" w:rsidP="00211BCA">
      <w:pPr>
        <w:pStyle w:val="NormalWeb"/>
      </w:pPr>
      <w:r>
        <w:lastRenderedPageBreak/>
        <w:t xml:space="preserve">B </w:t>
      </w:r>
      <w:r>
        <w:rPr>
          <w:noProof/>
        </w:rPr>
        <w:drawing>
          <wp:inline distT="0" distB="0" distL="0" distR="0" wp14:anchorId="6FA9D9D8" wp14:editId="62172A14">
            <wp:extent cx="5943600" cy="5943600"/>
            <wp:effectExtent l="0" t="0" r="0" b="0"/>
            <wp:docPr id="3" name="Picture 3" descr="https://lh3.googleusercontent.com/HOtcBhud9DlWHn2lUVLq340MrPzbVjpfMvVUWvWIwhn78rLH3wd9oXNCHEal--kTiszGa_iWZqSnVqOsSDRr4hnMzxAfQfbqSW-V_9w6hEVwbtnZ6oz2DQERBjtYgxrQgCR-_I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OtcBhud9DlWHn2lUVLq340MrPzbVjpfMvVUWvWIwhn78rLH3wd9oXNCHEal--kTiszGa_iWZqSnVqOsSDRr4hnMzxAfQfbqSW-V_9w6hEVwbtnZ6oz2DQERBjtYgxrQgCR-_Ih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98224A" w14:textId="77777777" w:rsidR="00D2345D" w:rsidRDefault="00D2345D" w:rsidP="00211BCA"/>
    <w:p w14:paraId="6D68561C" w14:textId="77777777" w:rsidR="00D2345D" w:rsidRDefault="00D2345D" w:rsidP="005F4998">
      <w:pPr>
        <w:pStyle w:val="Heading3"/>
      </w:pPr>
      <w:r>
        <w:t xml:space="preserve">Figure S3. Statistical significance of regressions of taxa agglomerated at a range of taxonomic levels, against each antibody found to relate to community structure in Tables 1 and S1. We report both </w:t>
      </w:r>
      <w:proofErr w:type="gramStart"/>
      <w:r w:rsidRPr="005F4998">
        <w:rPr>
          <w:b/>
        </w:rPr>
        <w:t>A</w:t>
      </w:r>
      <w:proofErr w:type="gramEnd"/>
      <w:r>
        <w:t xml:space="preserve"> p-values and </w:t>
      </w:r>
      <w:r w:rsidRPr="005F4998">
        <w:rPr>
          <w:b/>
        </w:rPr>
        <w:t>B</w:t>
      </w:r>
      <w:r>
        <w:t xml:space="preserve"> q-values for each. Q-values are calculated from p-values at each antibody-taxonomic level combination. </w:t>
      </w:r>
    </w:p>
    <w:p w14:paraId="56BC5938" w14:textId="77777777" w:rsidR="00D2345D" w:rsidRDefault="00D2345D" w:rsidP="00211BCA"/>
    <w:p w14:paraId="12B7ACA9" w14:textId="77777777" w:rsidR="00D2345D" w:rsidRDefault="00D2345D" w:rsidP="00211BCA">
      <w:pPr>
        <w:pStyle w:val="NormalWeb"/>
      </w:pPr>
      <w:r>
        <w:rPr>
          <w:noProof/>
        </w:rPr>
        <w:lastRenderedPageBreak/>
        <w:drawing>
          <wp:inline distT="0" distB="0" distL="0" distR="0" wp14:anchorId="2DB62FC9" wp14:editId="415408C9">
            <wp:extent cx="5943600" cy="7924800"/>
            <wp:effectExtent l="0" t="0" r="0" b="0"/>
            <wp:docPr id="2" name="Picture 2" descr="https://lh6.googleusercontent.com/clCZv9tpvL47mM49nerzBCHopxbzLGwi5WD1RQjLzINvP9J7bKYH6VDOokuMHW0mEbG5vqH3_2059mA-MpLAsXvWCPOzPGEKu1MHH9nIsdGT9yc0nMPzpvXp1_10oeURnqI0gM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lCZv9tpvL47mM49nerzBCHopxbzLGwi5WD1RQjLzINvP9J7bKYH6VDOokuMHW0mEbG5vqH3_2059mA-MpLAsXvWCPOzPGEKu1MHH9nIsdGT9yc0nMPzpvXp1_10oeURnqI0gMF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B6797C7" w14:textId="02CF62CB" w:rsidR="00D2345D" w:rsidRDefault="00D2345D" w:rsidP="005F4998">
      <w:pPr>
        <w:pStyle w:val="Heading3"/>
      </w:pPr>
      <w:r>
        <w:lastRenderedPageBreak/>
        <w:t>Figure S4. Coefficients (y-axis) of general linear models relating family level taxa (x-axis) to antibody concentrations for which there was at least one statistically significant hit in Figure S3. Error bars represent two standard errors of the coefficient. Colors and shapes indicate whether models have p-values &lt; 0.05 and q-values &lt; 0.2, respectively. Only taxa involved in at least one statistically significant associations are shown. These same families are indicated with dots in Figure 4 when they are statistically significant.</w:t>
      </w:r>
    </w:p>
    <w:p w14:paraId="690DC2E3" w14:textId="4FFA60B3" w:rsidR="007B4C60" w:rsidRDefault="007B4C60" w:rsidP="007B4C60"/>
    <w:p w14:paraId="1F08442B" w14:textId="77777777" w:rsidR="007B4C60" w:rsidRDefault="007B4C60" w:rsidP="007B4C60">
      <w:pPr>
        <w:pStyle w:val="Heading3"/>
      </w:pPr>
      <w:r>
        <w:t>Supplementary Data S1.  Tables showing counts of agglomerated SVs to different taxonomic levels as described in the supplement.</w:t>
      </w:r>
    </w:p>
    <w:p w14:paraId="1B2BF845" w14:textId="77777777" w:rsidR="007B4C60" w:rsidRDefault="007B4C60" w:rsidP="007B4C60">
      <w:r>
        <w:t>Supplementary Data S2. Taxonomic information about each agglomerated taxon shown in Table S4. The Kingdom-Species columns indicate consensus taxonomy of those OTUs as per the DADA2 classifier. Sequence indicates the consensus sequence from the DADA2 classifier only if this taxonomic group contains only one sequence. “</w:t>
      </w:r>
      <w:proofErr w:type="spellStart"/>
      <w:proofErr w:type="gramStart"/>
      <w:r>
        <w:t>oldGroups</w:t>
      </w:r>
      <w:proofErr w:type="spellEnd"/>
      <w:proofErr w:type="gramEnd"/>
      <w:r>
        <w:t>” indicate which species level SVs, as per the species table in this directory are contained in the agglomerated taxon. “</w:t>
      </w:r>
      <w:proofErr w:type="gramStart"/>
      <w:r>
        <w:t>tag</w:t>
      </w:r>
      <w:proofErr w:type="gramEnd"/>
      <w:r>
        <w:t>” indicates the name used for analysis and in the tables indicated in Supplementary Data s1.</w:t>
      </w:r>
    </w:p>
    <w:p w14:paraId="00E02FF5" w14:textId="77777777" w:rsidR="007B4C60" w:rsidRDefault="007B4C60" w:rsidP="007B4C60">
      <w:pPr>
        <w:pStyle w:val="NormalWeb"/>
      </w:pPr>
      <w:r>
        <w:t>{</w:t>
      </w:r>
      <w:proofErr w:type="gramStart"/>
      <w:r>
        <w:t>separate</w:t>
      </w:r>
      <w:proofErr w:type="gramEnd"/>
      <w:r>
        <w:t xml:space="preserve"> file, AllLocalTest.csv}</w:t>
      </w:r>
    </w:p>
    <w:p w14:paraId="339C8905" w14:textId="77777777" w:rsidR="007B4C60" w:rsidRDefault="007B4C60" w:rsidP="007B4C60">
      <w:pPr>
        <w:pStyle w:val="Heading3"/>
      </w:pPr>
      <w:r>
        <w:t xml:space="preserve">Supplemental Data S3. Results of binomial and </w:t>
      </w:r>
      <w:proofErr w:type="spellStart"/>
      <w:r>
        <w:t>gaussian</w:t>
      </w:r>
      <w:proofErr w:type="spellEnd"/>
      <w:r>
        <w:t xml:space="preserve"> regressions of family, genus, and species-level groups against concentrations of antibodies that were found to be statistically significant at time-points in Tables 1 and S1. “</w:t>
      </w:r>
      <w:proofErr w:type="spellStart"/>
      <w:proofErr w:type="gramStart"/>
      <w:r>
        <w:t>taxLevels</w:t>
      </w:r>
      <w:proofErr w:type="spellEnd"/>
      <w:proofErr w:type="gramEnd"/>
      <w:r>
        <w:t>” indicates the taxonomic level to which the SVs were agglomerated before the analysis was carried out (this level is “Species” if no agglomeration. “</w:t>
      </w:r>
      <w:proofErr w:type="spellStart"/>
      <w:proofErr w:type="gramStart"/>
      <w:r>
        <w:t>ntaxa</w:t>
      </w:r>
      <w:proofErr w:type="spellEnd"/>
      <w:proofErr w:type="gramEnd"/>
      <w:r>
        <w:t xml:space="preserve">” indicates the number of agglomerated taxa. Test indicates </w:t>
      </w:r>
      <w:proofErr w:type="gramStart"/>
      <w:r>
        <w:t>whether this was a logistic regression in which the immune variable was treated as median split (“binomial”) or a least squares type regression in which box-cox transformed variables were treated as continuous and normally distributed</w:t>
      </w:r>
      <w:proofErr w:type="gramEnd"/>
      <w:r>
        <w:t>. “</w:t>
      </w:r>
      <w:proofErr w:type="gramStart"/>
      <w:r>
        <w:t>antigen</w:t>
      </w:r>
      <w:proofErr w:type="gramEnd"/>
      <w:r>
        <w:t>” indicates the target of the measured IgG antibody. “Taxon” indicates the consensus name of the agglomerated taxon, as defined in table SX. “Intercept” is the y intercept of the regression. “</w:t>
      </w:r>
      <w:proofErr w:type="spellStart"/>
      <w:r>
        <w:t>clr_estimate</w:t>
      </w:r>
      <w:proofErr w:type="spellEnd"/>
      <w:r>
        <w:t>” is the slope of the regression. The following columns indicate the standard error, p value and q value of that regression. Q values are calculated for each antigen as described in the Supplement. Kingdom-Species columns indicate the shared taxonomy of the members of that taxonomic group.</w:t>
      </w:r>
    </w:p>
    <w:p w14:paraId="535C8287" w14:textId="77777777" w:rsidR="007B4C60" w:rsidRPr="007B4C60" w:rsidRDefault="007B4C60" w:rsidP="007B4C60"/>
    <w:p w14:paraId="4036729A" w14:textId="77777777" w:rsidR="00D2345D" w:rsidRDefault="00D2345D" w:rsidP="00211BCA"/>
    <w:p w14:paraId="77696A86" w14:textId="5D7FC338" w:rsidR="00D2345D" w:rsidRDefault="00D2345D" w:rsidP="00F617A6">
      <w:pPr>
        <w:pStyle w:val="Heading1"/>
      </w:pPr>
      <w:r>
        <w:lastRenderedPageBreak/>
        <w:t>Supplemental methods</w:t>
      </w:r>
    </w:p>
    <w:p w14:paraId="222897B5" w14:textId="77777777" w:rsidR="00D2345D" w:rsidRDefault="00D2345D" w:rsidP="00F617A6">
      <w:pPr>
        <w:pStyle w:val="Heading2"/>
      </w:pPr>
      <w:r>
        <w:t>Vaccine Details</w:t>
      </w:r>
    </w:p>
    <w:p w14:paraId="58C22ADB" w14:textId="56684E27" w:rsidR="00D2345D" w:rsidRDefault="00D2345D" w:rsidP="00211BCA">
      <w:r>
        <w:t>NYVAC is a combination of two attenuated vaccinia viruses, one NYVAC-HIV-PT1 contained DNA expressing HIV clade C ZM96 gp140 and the other NYVAC-HIV-PT4 contained DNA expressing clade C ZM96 Gag, ZM96 gp120 and a CN54 Pol-</w:t>
      </w:r>
      <w:proofErr w:type="spellStart"/>
      <w:r>
        <w:t>Nef</w:t>
      </w:r>
      <w:proofErr w:type="spellEnd"/>
      <w:r>
        <w:t xml:space="preserve"> fusion construct and two clade C gp120 proteins with MF59 adjuvant (</w:t>
      </w:r>
      <w:proofErr w:type="spellStart"/>
      <w:r>
        <w:t>Tartaglia</w:t>
      </w:r>
      <w:proofErr w:type="spellEnd"/>
      <w:r>
        <w:t xml:space="preserve"> et al., 1992). NYVAC was administered intramuscularly as 1mL, each at a concentration of 5 x 10</w:t>
      </w:r>
      <w:r>
        <w:rPr>
          <w:sz w:val="13"/>
          <w:szCs w:val="13"/>
          <w:vertAlign w:val="superscript"/>
        </w:rPr>
        <w:t>6</w:t>
      </w:r>
      <w:r>
        <w:t xml:space="preserve"> PFU/mL, of NYVAC-HIV-PT1 and NYVAC-HIV-PT4.  The trivalent bare DNA plasmid, administered at a volume of 1mL and concentra</w:t>
      </w:r>
      <w:r w:rsidR="00067355">
        <w:t>tion 4mg/mL, also expressed the</w:t>
      </w:r>
      <w:r>
        <w:t xml:space="preserve"> clade C ZM96 Gag, ZM96 gp120 and </w:t>
      </w:r>
      <w:r w:rsidR="00067355">
        <w:t>a CN54 Pol-</w:t>
      </w:r>
      <w:proofErr w:type="spellStart"/>
      <w:r w:rsidR="00067355">
        <w:t>Nef</w:t>
      </w:r>
      <w:proofErr w:type="spellEnd"/>
      <w:r w:rsidR="00067355">
        <w:t xml:space="preserve"> fusion construct. It </w:t>
      </w:r>
      <w:r>
        <w:t>was developed at the Dale and Betty Bumpers Vaccine Research Center (VRC), National Institute of Allergy and Infectious Diseases (NIAID), National Institutes of Health (NIH) (Bethesda, MD, USA).  </w:t>
      </w:r>
      <w:proofErr w:type="gramStart"/>
      <w:r w:rsidR="00067355">
        <w:t>AIDSVAX</w:t>
      </w:r>
      <w:r w:rsidR="00067355">
        <w:rPr>
          <w:rFonts w:ascii="MS Gothic" w:eastAsia="MS Gothic" w:hAnsi="MS Gothic" w:cs="MS Gothic" w:hint="eastAsia"/>
          <w:sz w:val="13"/>
          <w:szCs w:val="13"/>
          <w:vertAlign w:val="superscript"/>
        </w:rPr>
        <w:t>Ⓡ</w:t>
      </w:r>
      <w:r w:rsidR="00067355">
        <w:t>,</w:t>
      </w:r>
      <w:proofErr w:type="gramEnd"/>
      <w:r>
        <w:t xml:space="preserve"> is a bivalent gp120 glycoprotein, containing sequences of the MN and A244 HIV-1 strains, currently developed by Global Solutions for Infectious Diseases. It is administered intramuscularly at a volume of 1ml and concentration of 300 mcg/ml along with 600mcg Alum/ml </w:t>
      </w:r>
      <w:r w:rsidR="00067355">
        <w:t>Aluminum</w:t>
      </w:r>
      <w:r>
        <w:t xml:space="preserve"> hydroxide gel adjuvant.</w:t>
      </w:r>
    </w:p>
    <w:p w14:paraId="24EE4CAC" w14:textId="5F5C8CE1" w:rsidR="00D2345D" w:rsidRDefault="00D2345D" w:rsidP="00F617A6">
      <w:pPr>
        <w:pStyle w:val="Heading2"/>
      </w:pPr>
      <w:r>
        <w:t>Microbial DNA Extraction</w:t>
      </w:r>
    </w:p>
    <w:p w14:paraId="65002AF0" w14:textId="77777777" w:rsidR="00D2345D" w:rsidRDefault="00D2345D" w:rsidP="00211BCA">
      <w:r>
        <w:t xml:space="preserve">Rectal secretion samples were extracted along with the antibody samples from </w:t>
      </w:r>
      <w:proofErr w:type="spellStart"/>
      <w:r>
        <w:t>from</w:t>
      </w:r>
      <w:proofErr w:type="spellEnd"/>
      <w:r>
        <w:t xml:space="preserve"> rectal wecks as described previously (Pantaleo et al. In Prep). Briefly, </w:t>
      </w:r>
      <w:proofErr w:type="spellStart"/>
      <w:r>
        <w:t>weck</w:t>
      </w:r>
      <w:proofErr w:type="spellEnd"/>
      <w:r>
        <w:t xml:space="preserve"> cell sponges rinsed three times with extraction buffer (1X PBS (Invitrogen 10010-023), Protease inhibitor (539131_, and 0.25% bovine </w:t>
      </w:r>
      <w:proofErr w:type="spellStart"/>
      <w:r>
        <w:t>syrum</w:t>
      </w:r>
      <w:proofErr w:type="spellEnd"/>
      <w:r>
        <w:t xml:space="preserve"> albumen (Sigma A8412)) which was removed from the filter after each rinse by centrifugation on a spin-X filter at </w:t>
      </w:r>
      <w:proofErr w:type="gramStart"/>
      <w:r>
        <w:t>16000 x</w:t>
      </w:r>
      <w:proofErr w:type="gramEnd"/>
      <w:r>
        <w:t xml:space="preserve"> g.  We used the </w:t>
      </w:r>
      <w:proofErr w:type="spellStart"/>
      <w:r>
        <w:t>MoBio</w:t>
      </w:r>
      <w:proofErr w:type="spellEnd"/>
      <w:r>
        <w:t xml:space="preserve"> Bacteremia kit to extract DNA from the rinse solution.</w:t>
      </w:r>
    </w:p>
    <w:p w14:paraId="527C2BD4" w14:textId="77777777" w:rsidR="00D2345D" w:rsidRDefault="00D2345D" w:rsidP="00F617A6">
      <w:pPr>
        <w:pStyle w:val="Heading2"/>
      </w:pPr>
      <w:bookmarkStart w:id="2" w:name="_Ref513730152"/>
      <w:r>
        <w:t>Processing of sequence data</w:t>
      </w:r>
      <w:bookmarkEnd w:id="2"/>
    </w:p>
    <w:p w14:paraId="00AA3A6A" w14:textId="3517E7F0" w:rsidR="00D2345D" w:rsidRDefault="00D2345D" w:rsidP="00211BCA">
      <w:proofErr w:type="gramStart"/>
      <w:r>
        <w:t xml:space="preserve">Microbial 16S V3-V4 amplicon data were processed and analyzed using a series of BASH scripts and python </w:t>
      </w:r>
      <w:proofErr w:type="spellStart"/>
      <w:r>
        <w:t>jupyter</w:t>
      </w:r>
      <w:proofErr w:type="spellEnd"/>
      <w:r>
        <w:t xml:space="preserve"> notebooks containing R code that are </w:t>
      </w:r>
      <w:r w:rsidR="00FA5C4C">
        <w:t>publicly available at (</w:t>
      </w:r>
      <w:r w:rsidR="00FA5C4C" w:rsidRPr="00FA5C4C">
        <w:t>https://github.com/cramjaco/Nyvac_096_Microbiome</w:t>
      </w:r>
      <w:r w:rsidR="00FA5C4C">
        <w:t>)</w:t>
      </w:r>
      <w:r>
        <w:t>.</w:t>
      </w:r>
      <w:proofErr w:type="gramEnd"/>
      <w:r>
        <w:t xml:space="preserve"> Briefly, samples were demultiplexed and barcodes and primers removed in QIIME1. Sequence variant (SV) assignment was carried out using an adaptation of the DADA2 pipeline for 454 data (</w:t>
      </w:r>
      <w:hyperlink r:id="rId19" w:anchor="can-i-use-dada2-with-my-454-or-ion-torrent-data" w:history="1">
        <w:r>
          <w:rPr>
            <w:rStyle w:val="Hyperlink"/>
            <w:rFonts w:ascii="Arial" w:hAnsi="Arial" w:cs="Arial"/>
            <w:color w:val="1155CC"/>
          </w:rPr>
          <w:t>https://benjjneb.github.io/dada2/faq.html#can-i-use-dada2-with-my-454-or-ion-torrent-data</w:t>
        </w:r>
      </w:hyperlink>
      <w:r>
        <w:t>, see Supplemental methods).</w:t>
      </w:r>
      <w:r w:rsidR="00F2126E">
        <w:t xml:space="preserve"> </w:t>
      </w:r>
      <w:r>
        <w:t xml:space="preserve">SVs were named with DADA2’s taxonomic identification functions and a phylogenetic tree of SVs from within all samples was generated in the R environment (v. 3.4.1) using the </w:t>
      </w:r>
      <w:proofErr w:type="spellStart"/>
      <w:r>
        <w:rPr>
          <w:i/>
          <w:iCs/>
        </w:rPr>
        <w:t>phangorn</w:t>
      </w:r>
      <w:proofErr w:type="spellEnd"/>
      <w:r>
        <w:t xml:space="preserve"> package (</w:t>
      </w:r>
      <w:proofErr w:type="spellStart"/>
      <w:r>
        <w:t>Schliep</w:t>
      </w:r>
      <w:proofErr w:type="spellEnd"/>
      <w:r>
        <w:t xml:space="preserve"> et al. 2011). For the purposes of this </w:t>
      </w:r>
      <w:r>
        <w:lastRenderedPageBreak/>
        <w:t>analysis, we removed</w:t>
      </w:r>
      <w:r w:rsidR="00DF5E14">
        <w:t xml:space="preserve"> 31 SVs that were unidentified to the Phylum level, 7 SVs from phyla that were found in the data set fewer than 20 times each (</w:t>
      </w:r>
      <w:proofErr w:type="spellStart"/>
      <w:r w:rsidR="00DF5E14">
        <w:t>Verrumicrobia</w:t>
      </w:r>
      <w:proofErr w:type="spellEnd"/>
      <w:r w:rsidR="00DF5E14">
        <w:t xml:space="preserve">, </w:t>
      </w:r>
      <w:proofErr w:type="spellStart"/>
      <w:r w:rsidR="00DF5E14">
        <w:t>Tenericutes</w:t>
      </w:r>
      <w:proofErr w:type="spellEnd"/>
      <w:r w:rsidR="00DF5E14">
        <w:t xml:space="preserve">, </w:t>
      </w:r>
      <w:proofErr w:type="spellStart"/>
      <w:r w:rsidR="00DF5E14">
        <w:t>Elusimicrobia</w:t>
      </w:r>
      <w:proofErr w:type="spellEnd"/>
      <w:r w:rsidR="00DF5E14">
        <w:t xml:space="preserve"> and </w:t>
      </w:r>
      <w:proofErr w:type="spellStart"/>
      <w:r w:rsidR="00DF5E14">
        <w:t>Synergistetes</w:t>
      </w:r>
      <w:proofErr w:type="spellEnd"/>
      <w:r w:rsidR="00DF5E14">
        <w:t>), and 386 SVs that were present in fewer than 10% of the samples.</w:t>
      </w:r>
    </w:p>
    <w:p w14:paraId="1D8F922F" w14:textId="5CEDBC84" w:rsidR="00D2345D" w:rsidRDefault="00D2345D" w:rsidP="00211BCA">
      <w:r>
        <w:t>To test the association of microbial subpopulations with immunogenicity and vaccine response, we clustered the 16S SVs at multiple levels of phylogenetic relatedness. Because of the inconsistencies observed with taxonomic cla</w:t>
      </w:r>
      <w:r w:rsidR="00FA5C4C">
        <w:t>ssific</w:t>
      </w:r>
      <w:r w:rsidR="00F617A6">
        <w:t>ation algorithms (Golob et al. 2017)</w:t>
      </w:r>
      <w:r>
        <w:t xml:space="preserve">, we avoided a taxonomic approach to phylogenetic clustering, instead using the phylogenetic diversity based on multiple sequence alignment of the complete set of SVs in this study. We created a set of clusters with the goal of approximating the degree of granularity that would be achieved by clustering at the commonly accepted phylogenetic levels (e.g. Phylum, Class), while allowing our groups to be independent of any taxonomic classification algorithm. </w:t>
      </w:r>
    </w:p>
    <w:p w14:paraId="27E7C5DB" w14:textId="77777777" w:rsidR="00D2345D" w:rsidRDefault="00D2345D" w:rsidP="00211BCA">
      <w:proofErr w:type="gramStart"/>
      <w:r>
        <w:t xml:space="preserve">Operationally, phylogenetic clustering was performed by (1) identifying the number of unique taxa that were predicted to be present at each taxonomic level (e.g. Phylum, Class) according to DADA2’s implementation of RDP’s naive </w:t>
      </w:r>
      <w:proofErr w:type="spellStart"/>
      <w:r>
        <w:t>Baysean</w:t>
      </w:r>
      <w:proofErr w:type="spellEnd"/>
      <w:r>
        <w:t xml:space="preserve"> classifier (Wang et al., 2007), (2) performing agglomerative clustering on the phylogenetic tree of SV sequences to create the number of groups identified at each of those taxonomic levels, and (3) naming the resulting phylogenetic groups according to the highest taxonomic level shared by SVs within that group.</w:t>
      </w:r>
      <w:proofErr w:type="gramEnd"/>
    </w:p>
    <w:p w14:paraId="019E2B0E" w14:textId="77777777" w:rsidR="00D2345D" w:rsidRDefault="00D2345D" w:rsidP="00F617A6">
      <w:pPr>
        <w:pStyle w:val="Heading2"/>
      </w:pPr>
      <w:r>
        <w:t>Global - Kernel Regression Tests</w:t>
      </w:r>
    </w:p>
    <w:p w14:paraId="2BE674AB" w14:textId="2C3DB5C3" w:rsidR="00D2345D" w:rsidRDefault="00D2345D" w:rsidP="00211BCA">
      <w:r>
        <w:t xml:space="preserve">In two versions of this </w:t>
      </w:r>
      <w:r w:rsidR="00FA5C4C">
        <w:t>analysis,</w:t>
      </w:r>
      <w:r>
        <w:t xml:space="preserve"> immunological variables were “median-split” and treated as a binary variable, and secondarily box-cox transformed.</w:t>
      </w:r>
      <w:r>
        <w:rPr>
          <w:strike/>
        </w:rPr>
        <w:t xml:space="preserve"> </w:t>
      </w:r>
      <w:r>
        <w:t>This same kernel regression method was to compare Jensen-Shannon divergence to each of the BAMA measurements. To perform this analysis, Jensen-Shannon distance matrix was derived from community structure data that had been agglomerated to each taxonomic level (</w:t>
      </w:r>
      <w:r w:rsidR="00A03C5E">
        <w:t>Supplement S</w:t>
      </w:r>
      <w:r>
        <w:t xml:space="preserve">ection </w:t>
      </w:r>
      <w:r w:rsidR="00A03C5E">
        <w:fldChar w:fldCharType="begin"/>
      </w:r>
      <w:r w:rsidR="00A03C5E">
        <w:instrText xml:space="preserve"> REF _Ref513730152 \n \h </w:instrText>
      </w:r>
      <w:r w:rsidR="00A03C5E">
        <w:fldChar w:fldCharType="separate"/>
      </w:r>
      <w:r w:rsidR="007E6B03">
        <w:t>7.3</w:t>
      </w:r>
      <w:r w:rsidR="00A03C5E">
        <w:fldChar w:fldCharType="end"/>
      </w:r>
      <w:r>
        <w:t>).  </w:t>
      </w:r>
      <w:proofErr w:type="spellStart"/>
      <w:r>
        <w:t>MiRKAT</w:t>
      </w:r>
      <w:proofErr w:type="spellEnd"/>
      <w:r>
        <w:t xml:space="preserve"> was then provided a list of kernels, each one representing distance matrices from communities aggregated to different levels. Then for each variable of interest, </w:t>
      </w:r>
      <w:proofErr w:type="spellStart"/>
      <w:r>
        <w:t>MiRKAT</w:t>
      </w:r>
      <w:proofErr w:type="spellEnd"/>
      <w:r>
        <w:t xml:space="preserve"> calculated kernel regression p-values for each level of taxonomic agglomeration. For the of Jensen-Shannon kernel regression tests of different taxonomic agglomerations, </w:t>
      </w:r>
      <w:proofErr w:type="spellStart"/>
      <w:r>
        <w:t>MiRKAT</w:t>
      </w:r>
      <w:proofErr w:type="spellEnd"/>
      <w:r>
        <w:t xml:space="preserve"> calculated an omnibus P-value, which determines whether a family of related tests shows significance overall. This omnibus P-value essentially tells one whether any of the tests show significance, while adjusting for multiple comparisons. In the Principal Coordinate regression approach, MDS1, the major component of weighted UniFrac variability, accounted we performed logistic</w:t>
      </w:r>
      <w:r w:rsidR="00FA5C4C">
        <w:t xml:space="preserve"> </w:t>
      </w:r>
      <w:r>
        <w:t xml:space="preserve">regression of MDS1 against both the </w:t>
      </w:r>
      <w:r>
        <w:lastRenderedPageBreak/>
        <w:t>median split transformed values (respectively) each IgG and IgA. As a secondary analysis, we performed linear regression of MDS1 against the box-cox transformed measurements.</w:t>
      </w:r>
    </w:p>
    <w:p w14:paraId="43168546" w14:textId="77777777" w:rsidR="00D2345D" w:rsidRPr="00FA5C4C" w:rsidRDefault="00D2345D" w:rsidP="00F617A6">
      <w:pPr>
        <w:pStyle w:val="Heading2"/>
      </w:pPr>
      <w:r w:rsidRPr="00FA5C4C">
        <w:t>Local Regression Tests</w:t>
      </w:r>
    </w:p>
    <w:p w14:paraId="52039E27" w14:textId="77777777" w:rsidR="00D2345D" w:rsidRDefault="00D2345D" w:rsidP="00211BCA">
      <w:r>
        <w:t xml:space="preserve">For each immunologic variable that was found to be statistically significant under </w:t>
      </w:r>
      <w:r w:rsidR="00FA5C4C">
        <w:t>the global test,</w:t>
      </w:r>
      <w:r>
        <w:t xml:space="preserve"> we performed (at each agglomeration level) logistic regression of each </w:t>
      </w:r>
      <w:proofErr w:type="gramStart"/>
      <w:r>
        <w:t>taxon’s</w:t>
      </w:r>
      <w:proofErr w:type="gramEnd"/>
      <w:r>
        <w:t xml:space="preserve"> centered log-ratio (</w:t>
      </w:r>
      <w:proofErr w:type="spellStart"/>
      <w:r>
        <w:t>clr</w:t>
      </w:r>
      <w:proofErr w:type="spellEnd"/>
      <w:r>
        <w:t>) transformed relative</w:t>
      </w:r>
      <w:r w:rsidR="00D51C35">
        <w:t xml:space="preserve"> abundance</w:t>
      </w:r>
      <w:r>
        <w:t xml:space="preserve"> against median split immunological measurements. Multiplicity adjustment to control the false-discovery rate (FDR) was performed using the Q-value statistic (</w:t>
      </w:r>
      <w:proofErr w:type="spellStart"/>
      <w:r>
        <w:t>Storey</w:t>
      </w:r>
      <w:proofErr w:type="spellEnd"/>
      <w:r>
        <w:t xml:space="preserve"> et al. </w:t>
      </w:r>
      <w:r w:rsidR="00D51C35">
        <w:t>2002</w:t>
      </w:r>
      <w:r>
        <w:t>) across all taxa for each immune variable at each level of agglomeration. We identified which taxonomic agglomeration level - immunologic variable combinations were associated with some Q &lt; 0.2.</w:t>
      </w:r>
    </w:p>
    <w:p w14:paraId="6FD72232" w14:textId="77777777" w:rsidR="00D2345D" w:rsidRDefault="00D2345D" w:rsidP="00F617A6">
      <w:pPr>
        <w:pStyle w:val="Heading2"/>
      </w:pPr>
      <w:r>
        <w:t>Statistical associations between Family level groups, and between Families and Immune variables:</w:t>
      </w:r>
    </w:p>
    <w:p w14:paraId="2B47C4D0" w14:textId="0E71A8E9" w:rsidR="00D2345D" w:rsidRDefault="00D2345D" w:rsidP="00211BCA">
      <w:r>
        <w:t>Because t</w:t>
      </w:r>
      <w:r w:rsidR="00D51C35">
        <w:t xml:space="preserve">he local tests identified that </w:t>
      </w:r>
      <w:r w:rsidR="00D64614">
        <w:t>family level groups</w:t>
      </w:r>
      <w:r>
        <w:t xml:space="preserve"> had more statistically significant interactions than groups at other levels (see </w:t>
      </w:r>
      <w:r w:rsidR="00D64614">
        <w:t xml:space="preserve">Results section </w:t>
      </w:r>
      <w:r w:rsidR="00D64614">
        <w:fldChar w:fldCharType="begin"/>
      </w:r>
      <w:r w:rsidR="00D64614">
        <w:instrText xml:space="preserve"> REF _Ref513729992 \n \h </w:instrText>
      </w:r>
      <w:r w:rsidR="00D64614">
        <w:fldChar w:fldCharType="separate"/>
      </w:r>
      <w:r w:rsidR="007E6B03">
        <w:t>4.5</w:t>
      </w:r>
      <w:r w:rsidR="00D64614">
        <w:fldChar w:fldCharType="end"/>
      </w:r>
      <w:r>
        <w:t>), subsequent analysis focused on family level patterns. We report which family level taxa are associated, via binomial regression with each immunologic variable that relates to community structure via the global kernel regr</w:t>
      </w:r>
      <w:r w:rsidR="00D51C35">
        <w:t>ession tests. Gp120 binding IgG;</w:t>
      </w:r>
      <w:r>
        <w:t xml:space="preserve"> which associated more strongly with community structure when it was treated as a discrete (</w:t>
      </w:r>
      <w:r w:rsidR="00D64614">
        <w:t>Table 1)</w:t>
      </w:r>
      <w:r>
        <w:t>, ra</w:t>
      </w:r>
      <w:r w:rsidR="00D51C35">
        <w:t xml:space="preserve">ther than a continuous </w:t>
      </w:r>
      <w:r w:rsidR="00D64614">
        <w:t>(Table S1)</w:t>
      </w:r>
      <w:r w:rsidR="00D51C35">
        <w:t>variable;</w:t>
      </w:r>
      <w:r>
        <w:t xml:space="preserve"> was also treated as a continuous variable, box-cox transformed, and linearly regressed against species abundances.</w:t>
      </w:r>
    </w:p>
    <w:p w14:paraId="7B5621B9" w14:textId="77777777" w:rsidR="00D2345D" w:rsidRDefault="00D2345D" w:rsidP="00211BCA">
      <w:r>
        <w:t>To understand how these local associations related to microbial community structure patterns, we investigated whether those taxa that were associated with immunological variable abundance were also associated with each other. The proportionality method (</w:t>
      </w:r>
      <w:proofErr w:type="spellStart"/>
      <w:r>
        <w:t>Lovel</w:t>
      </w:r>
      <w:proofErr w:type="spellEnd"/>
      <w:r>
        <w:t xml:space="preserve"> et al. 2015), was used to test for statistical associations between family level groups, while accounting for compositionality of the groups. We examined whether these co-occurring families were systematically related to relationships between the taxa and immune measurements.</w:t>
      </w:r>
    </w:p>
    <w:p w14:paraId="32589EF5" w14:textId="77777777" w:rsidR="00D2345D" w:rsidRDefault="00D2345D" w:rsidP="00F617A6">
      <w:pPr>
        <w:pStyle w:val="Heading1"/>
      </w:pPr>
      <w:r>
        <w:t>References</w:t>
      </w:r>
    </w:p>
    <w:p w14:paraId="0CD6F473" w14:textId="77777777" w:rsidR="00D2345D" w:rsidRDefault="00D2345D" w:rsidP="00211BCA">
      <w:r>
        <w:t>[STUB]</w:t>
      </w:r>
    </w:p>
    <w:p w14:paraId="393497F8" w14:textId="210368BF" w:rsidR="00D2345D" w:rsidRDefault="00D2345D" w:rsidP="00211BCA">
      <w:proofErr w:type="spellStart"/>
      <w:r>
        <w:t>Schliep</w:t>
      </w:r>
      <w:proofErr w:type="spellEnd"/>
      <w:r>
        <w:t xml:space="preserve"> K.P. 2011. </w:t>
      </w:r>
      <w:proofErr w:type="spellStart"/>
      <w:proofErr w:type="gramStart"/>
      <w:r>
        <w:t>phangorn</w:t>
      </w:r>
      <w:proofErr w:type="spellEnd"/>
      <w:proofErr w:type="gramEnd"/>
      <w:r>
        <w:t xml:space="preserve">: phylogenetic analysis in R. Bioinformatics, 27(4) 592-593 </w:t>
      </w:r>
    </w:p>
    <w:sectPr w:rsidR="00D23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1214"/>
    <w:multiLevelType w:val="multilevel"/>
    <w:tmpl w:val="21762B3C"/>
    <w:lvl w:ilvl="0">
      <w:start w:val="1"/>
      <w:numFmt w:val="decimal"/>
      <w:pStyle w:val="Heading1"/>
      <w:lvlText w:val="%1"/>
      <w:lvlJc w:val="left"/>
      <w:pPr>
        <w:ind w:left="432" w:hanging="432"/>
      </w:pPr>
      <w:rPr>
        <w:rFonts w:ascii="Arial" w:hAnsi="Arial" w:cs="Arial" w:hint="default"/>
        <w:b w:val="0"/>
      </w:rPr>
    </w:lvl>
    <w:lvl w:ilvl="1">
      <w:start w:val="1"/>
      <w:numFmt w:val="decimal"/>
      <w:pStyle w:val="Heading2"/>
      <w:lvlText w:val="%1.%2"/>
      <w:lvlJc w:val="left"/>
      <w:pPr>
        <w:ind w:left="756" w:hanging="576"/>
      </w:pPr>
      <w:rPr>
        <w:rFonts w:ascii="Arial" w:hAnsi="Arial" w:cs="Arial" w:hint="default"/>
        <w:b w:val="0"/>
        <w:sz w:val="36"/>
        <w:szCs w:val="36"/>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04"/>
    <w:rsid w:val="00003246"/>
    <w:rsid w:val="00033591"/>
    <w:rsid w:val="00067355"/>
    <w:rsid w:val="00211BCA"/>
    <w:rsid w:val="00220CB8"/>
    <w:rsid w:val="002B1BD1"/>
    <w:rsid w:val="002E0BB8"/>
    <w:rsid w:val="002F411D"/>
    <w:rsid w:val="00320C56"/>
    <w:rsid w:val="003C7E4B"/>
    <w:rsid w:val="00401F49"/>
    <w:rsid w:val="00426B2B"/>
    <w:rsid w:val="00463730"/>
    <w:rsid w:val="004D4F27"/>
    <w:rsid w:val="00514D51"/>
    <w:rsid w:val="00524558"/>
    <w:rsid w:val="00566260"/>
    <w:rsid w:val="00571C8E"/>
    <w:rsid w:val="005F4998"/>
    <w:rsid w:val="00626E72"/>
    <w:rsid w:val="006B68DE"/>
    <w:rsid w:val="00714891"/>
    <w:rsid w:val="00767A74"/>
    <w:rsid w:val="00793099"/>
    <w:rsid w:val="007B4C60"/>
    <w:rsid w:val="007E6B03"/>
    <w:rsid w:val="008423A1"/>
    <w:rsid w:val="008C575E"/>
    <w:rsid w:val="00980826"/>
    <w:rsid w:val="009D75FA"/>
    <w:rsid w:val="009D7A7D"/>
    <w:rsid w:val="009F2316"/>
    <w:rsid w:val="00A03C5E"/>
    <w:rsid w:val="00A042CA"/>
    <w:rsid w:val="00BD6B3B"/>
    <w:rsid w:val="00CC6AD6"/>
    <w:rsid w:val="00CE0125"/>
    <w:rsid w:val="00CE7DF8"/>
    <w:rsid w:val="00D2345D"/>
    <w:rsid w:val="00D34B5C"/>
    <w:rsid w:val="00D51C35"/>
    <w:rsid w:val="00D64614"/>
    <w:rsid w:val="00DB0070"/>
    <w:rsid w:val="00DF5E14"/>
    <w:rsid w:val="00E55EE2"/>
    <w:rsid w:val="00E66C04"/>
    <w:rsid w:val="00F2126E"/>
    <w:rsid w:val="00F436F7"/>
    <w:rsid w:val="00F617A6"/>
    <w:rsid w:val="00FA5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691D5"/>
  <w15:chartTrackingRefBased/>
  <w15:docId w15:val="{DEBFD74E-075E-495D-85E4-938115B7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BCA"/>
    <w:pPr>
      <w:spacing w:after="240" w:line="360" w:lineRule="auto"/>
    </w:pPr>
    <w:rPr>
      <w:rFonts w:ascii="Times New Roman" w:eastAsia="Times New Roman" w:hAnsi="Times New Roman" w:cs="Times New Roman"/>
      <w:color w:val="000000"/>
    </w:rPr>
  </w:style>
  <w:style w:type="paragraph" w:styleId="Heading1">
    <w:name w:val="heading 1"/>
    <w:basedOn w:val="Normal"/>
    <w:link w:val="Heading1Char"/>
    <w:uiPriority w:val="9"/>
    <w:qFormat/>
    <w:rsid w:val="00F617A6"/>
    <w:pPr>
      <w:numPr>
        <w:numId w:val="1"/>
      </w:numPr>
      <w:spacing w:before="400" w:line="240" w:lineRule="auto"/>
      <w:outlineLvl w:val="0"/>
    </w:pPr>
    <w:rPr>
      <w:rFonts w:ascii="Arial" w:hAnsi="Arial" w:cs="Arial"/>
      <w:kern w:val="36"/>
      <w:sz w:val="40"/>
      <w:szCs w:val="40"/>
    </w:rPr>
  </w:style>
  <w:style w:type="paragraph" w:styleId="Heading2">
    <w:name w:val="heading 2"/>
    <w:basedOn w:val="Heading1"/>
    <w:link w:val="Heading2Char"/>
    <w:uiPriority w:val="9"/>
    <w:qFormat/>
    <w:rsid w:val="00F617A6"/>
    <w:pPr>
      <w:numPr>
        <w:ilvl w:val="1"/>
      </w:numPr>
      <w:ind w:left="576"/>
      <w:outlineLvl w:val="1"/>
    </w:pPr>
    <w:rPr>
      <w:sz w:val="32"/>
      <w:szCs w:val="32"/>
    </w:rPr>
  </w:style>
  <w:style w:type="paragraph" w:styleId="Heading3">
    <w:name w:val="heading 3"/>
    <w:basedOn w:val="Legend"/>
    <w:next w:val="Normal"/>
    <w:link w:val="Heading3Char"/>
    <w:uiPriority w:val="9"/>
    <w:unhideWhenUsed/>
    <w:qFormat/>
    <w:rsid w:val="005F4998"/>
    <w:pPr>
      <w:outlineLvl w:val="2"/>
    </w:pPr>
  </w:style>
  <w:style w:type="paragraph" w:styleId="Heading4">
    <w:name w:val="heading 4"/>
    <w:basedOn w:val="Normal"/>
    <w:next w:val="Normal"/>
    <w:link w:val="Heading4Char"/>
    <w:uiPriority w:val="9"/>
    <w:unhideWhenUsed/>
    <w:qFormat/>
    <w:rsid w:val="005F499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499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499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499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499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9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7A6"/>
    <w:rPr>
      <w:rFonts w:ascii="Arial" w:eastAsia="Times New Roman" w:hAnsi="Arial" w:cs="Arial"/>
      <w:color w:val="000000"/>
      <w:kern w:val="36"/>
      <w:sz w:val="40"/>
      <w:szCs w:val="40"/>
    </w:rPr>
  </w:style>
  <w:style w:type="character" w:customStyle="1" w:styleId="Heading2Char">
    <w:name w:val="Heading 2 Char"/>
    <w:basedOn w:val="DefaultParagraphFont"/>
    <w:link w:val="Heading2"/>
    <w:uiPriority w:val="9"/>
    <w:rsid w:val="00F617A6"/>
    <w:rPr>
      <w:rFonts w:ascii="Arial" w:eastAsia="Times New Roman" w:hAnsi="Arial" w:cs="Arial"/>
      <w:color w:val="000000"/>
      <w:kern w:val="36"/>
      <w:sz w:val="32"/>
      <w:szCs w:val="32"/>
    </w:rPr>
  </w:style>
  <w:style w:type="paragraph" w:styleId="NormalWeb">
    <w:name w:val="Normal (Web)"/>
    <w:basedOn w:val="Normal"/>
    <w:uiPriority w:val="99"/>
    <w:unhideWhenUsed/>
    <w:rsid w:val="00D2345D"/>
    <w:pPr>
      <w:spacing w:before="100" w:beforeAutospacing="1" w:after="100" w:afterAutospacing="1" w:line="240" w:lineRule="auto"/>
    </w:pPr>
    <w:rPr>
      <w:sz w:val="24"/>
      <w:szCs w:val="24"/>
    </w:rPr>
  </w:style>
  <w:style w:type="character" w:customStyle="1" w:styleId="Heading3Char">
    <w:name w:val="Heading 3 Char"/>
    <w:basedOn w:val="DefaultParagraphFont"/>
    <w:link w:val="Heading3"/>
    <w:uiPriority w:val="9"/>
    <w:rsid w:val="005F4998"/>
    <w:rPr>
      <w:rFonts w:ascii="Times New Roman" w:eastAsia="Times New Roman" w:hAnsi="Times New Roman" w:cs="Times New Roman"/>
      <w:color w:val="000000"/>
    </w:rPr>
  </w:style>
  <w:style w:type="character" w:styleId="Hyperlink">
    <w:name w:val="Hyperlink"/>
    <w:basedOn w:val="DefaultParagraphFont"/>
    <w:uiPriority w:val="99"/>
    <w:semiHidden/>
    <w:unhideWhenUsed/>
    <w:rsid w:val="00D2345D"/>
    <w:rPr>
      <w:color w:val="0000FF"/>
      <w:u w:val="single"/>
    </w:rPr>
  </w:style>
  <w:style w:type="paragraph" w:customStyle="1" w:styleId="Legend">
    <w:name w:val="Legend"/>
    <w:basedOn w:val="Normal"/>
    <w:qFormat/>
    <w:rsid w:val="00211BCA"/>
  </w:style>
  <w:style w:type="character" w:styleId="CommentReference">
    <w:name w:val="annotation reference"/>
    <w:basedOn w:val="DefaultParagraphFont"/>
    <w:uiPriority w:val="99"/>
    <w:semiHidden/>
    <w:unhideWhenUsed/>
    <w:rsid w:val="00F436F7"/>
    <w:rPr>
      <w:sz w:val="16"/>
      <w:szCs w:val="16"/>
    </w:rPr>
  </w:style>
  <w:style w:type="paragraph" w:styleId="CommentText">
    <w:name w:val="annotation text"/>
    <w:basedOn w:val="Normal"/>
    <w:link w:val="CommentTextChar"/>
    <w:uiPriority w:val="99"/>
    <w:semiHidden/>
    <w:unhideWhenUsed/>
    <w:rsid w:val="00F436F7"/>
    <w:pPr>
      <w:spacing w:line="240" w:lineRule="auto"/>
    </w:pPr>
    <w:rPr>
      <w:sz w:val="20"/>
      <w:szCs w:val="20"/>
    </w:rPr>
  </w:style>
  <w:style w:type="character" w:customStyle="1" w:styleId="CommentTextChar">
    <w:name w:val="Comment Text Char"/>
    <w:basedOn w:val="DefaultParagraphFont"/>
    <w:link w:val="CommentText"/>
    <w:uiPriority w:val="99"/>
    <w:semiHidden/>
    <w:rsid w:val="00F436F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436F7"/>
    <w:rPr>
      <w:b/>
      <w:bCs/>
    </w:rPr>
  </w:style>
  <w:style w:type="character" w:customStyle="1" w:styleId="CommentSubjectChar">
    <w:name w:val="Comment Subject Char"/>
    <w:basedOn w:val="CommentTextChar"/>
    <w:link w:val="CommentSubject"/>
    <w:uiPriority w:val="99"/>
    <w:semiHidden/>
    <w:rsid w:val="00F436F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436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6F7"/>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5F49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F49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F49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F49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F49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9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042CA"/>
    <w:pPr>
      <w:spacing w:after="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A042CA"/>
    <w:rPr>
      <w:rFonts w:ascii="Times New Roman" w:eastAsiaTheme="majorEastAsia" w:hAnsi="Times New Roman" w:cs="Times New Roman"/>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180714">
      <w:bodyDiv w:val="1"/>
      <w:marLeft w:val="0"/>
      <w:marRight w:val="0"/>
      <w:marTop w:val="0"/>
      <w:marBottom w:val="0"/>
      <w:divBdr>
        <w:top w:val="none" w:sz="0" w:space="0" w:color="auto"/>
        <w:left w:val="none" w:sz="0" w:space="0" w:color="auto"/>
        <w:bottom w:val="none" w:sz="0" w:space="0" w:color="auto"/>
        <w:right w:val="none" w:sz="0" w:space="0" w:color="auto"/>
      </w:divBdr>
    </w:div>
    <w:div w:id="1075784455">
      <w:bodyDiv w:val="1"/>
      <w:marLeft w:val="0"/>
      <w:marRight w:val="0"/>
      <w:marTop w:val="0"/>
      <w:marBottom w:val="0"/>
      <w:divBdr>
        <w:top w:val="none" w:sz="0" w:space="0" w:color="auto"/>
        <w:left w:val="none" w:sz="0" w:space="0" w:color="auto"/>
        <w:bottom w:val="none" w:sz="0" w:space="0" w:color="auto"/>
        <w:right w:val="none" w:sz="0" w:space="0" w:color="auto"/>
      </w:divBdr>
    </w:div>
    <w:div w:id="1268847113">
      <w:bodyDiv w:val="1"/>
      <w:marLeft w:val="0"/>
      <w:marRight w:val="0"/>
      <w:marTop w:val="0"/>
      <w:marBottom w:val="0"/>
      <w:divBdr>
        <w:top w:val="none" w:sz="0" w:space="0" w:color="auto"/>
        <w:left w:val="none" w:sz="0" w:space="0" w:color="auto"/>
        <w:bottom w:val="none" w:sz="0" w:space="0" w:color="auto"/>
        <w:right w:val="none" w:sz="0" w:space="0" w:color="auto"/>
      </w:divBdr>
    </w:div>
    <w:div w:id="1298334229">
      <w:bodyDiv w:val="1"/>
      <w:marLeft w:val="0"/>
      <w:marRight w:val="0"/>
      <w:marTop w:val="0"/>
      <w:marBottom w:val="0"/>
      <w:divBdr>
        <w:top w:val="none" w:sz="0" w:space="0" w:color="auto"/>
        <w:left w:val="none" w:sz="0" w:space="0" w:color="auto"/>
        <w:bottom w:val="none" w:sz="0" w:space="0" w:color="auto"/>
        <w:right w:val="none" w:sz="0" w:space="0" w:color="auto"/>
      </w:divBdr>
    </w:div>
    <w:div w:id="210495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benjjneb.github.io/dada2/faq.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5A7C7-878E-435E-9E09-AC0556016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30</Pages>
  <Words>18764</Words>
  <Characters>106960</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Fred Hutch</Company>
  <LinksUpToDate>false</LinksUpToDate>
  <CharactersWithSpaces>125474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 Jacob A</dc:creator>
  <cp:keywords/>
  <dc:description/>
  <cp:lastModifiedBy>Cram, Jacob A</cp:lastModifiedBy>
  <cp:revision>6</cp:revision>
  <cp:lastPrinted>2018-05-30T16:46:00Z</cp:lastPrinted>
  <dcterms:created xsi:type="dcterms:W3CDTF">2018-05-30T17:55:00Z</dcterms:created>
  <dcterms:modified xsi:type="dcterms:W3CDTF">2018-06-01T23:43:00Z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id="xn1q4Pmu"/&gt;&lt;style id="http://www.zotero.org/styles/cell" hasBibliography="1" bibliographyStyleHasBeenSet="0"/&gt;&lt;prefs&gt;&lt;pref name="fieldType" value="Field"/&gt;&lt;pref name="automaticJournalAbbreviation</vt:lpwstr>
  </property>
  <property fmtid="{D5CDD505-2E9C-101B-9397-08002B2CF9AE}" pid="3" name="ZOTERO_PREF_2">
    <vt:lpwstr>s" value="true"/&gt;&lt;/prefs&gt;&lt;/data&gt;</vt:lpwstr>
  </property>
</Properties>
</file>