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4D627" w14:textId="0937E68E" w:rsidR="00D2345D" w:rsidRDefault="00D2345D" w:rsidP="00A042CA">
      <w:pPr>
        <w:pStyle w:val="Title"/>
      </w:pPr>
      <w:r w:rsidRPr="00A042CA">
        <w:t>Human gut microbiota are associated with HIV-reactive immunoglobulin at baseline and following HIV vaccination</w:t>
      </w:r>
    </w:p>
    <w:p w14:paraId="40949C05" w14:textId="20324745" w:rsidR="00DB0070" w:rsidRDefault="00DB0070" w:rsidP="00DB0070"/>
    <w:p w14:paraId="43E4DCF6" w14:textId="25997031" w:rsidR="00DB0070" w:rsidRDefault="00DB0070" w:rsidP="00DB0070">
      <w:r>
        <w:t xml:space="preserve">Jacob </w:t>
      </w:r>
      <w:r w:rsidR="00D86A11">
        <w:t>A. Cram, Andrew Fiore-Gartland</w:t>
      </w:r>
      <w:r>
        <w:t>, Sujatha Srinivasan, David Fredricks, James Kublin</w:t>
      </w:r>
      <w:r w:rsidR="00766D8E">
        <w:t xml:space="preserve"> (and likely others)</w:t>
      </w:r>
      <w:bookmarkStart w:id="0" w:name="_GoBack"/>
      <w:bookmarkEnd w:id="0"/>
    </w:p>
    <w:p w14:paraId="4FE86405" w14:textId="77777777" w:rsidR="00D2345D" w:rsidRPr="00D51C35" w:rsidRDefault="00D2345D" w:rsidP="00F617A6">
      <w:pPr>
        <w:pStyle w:val="Heading1"/>
      </w:pPr>
      <w:r w:rsidRPr="00D51C35">
        <w:t>Abstract</w:t>
      </w:r>
    </w:p>
    <w:p w14:paraId="2151E318" w14:textId="77777777" w:rsidR="00D2345D" w:rsidRPr="00D2345D" w:rsidRDefault="00D2345D" w:rsidP="00211BCA">
      <w:pPr>
        <w:rPr>
          <w:sz w:val="24"/>
          <w:szCs w:val="24"/>
        </w:rPr>
      </w:pPr>
      <w:r w:rsidRPr="00D2345D">
        <w:t xml:space="preserve">The human microbiome and immune system shape each other through lifelong interactions. These interactions have been proposed to modulate the immune system's response to vaccines. Previous studies have suggested that composition of the human gut microbiome may correlate with the efficacy of oral vaccines. Furthermore antibodies to tolerogenic commensal microbial antigens, which are structurally analogous to the human immunodeficiency virus (HIV) envelope protein glycoprotein 41 (gp41), may be cross reactive with gp41 protein and thus limit vaccine efficacy. To </w:t>
      </w:r>
      <w:r w:rsidR="008423A1">
        <w:t>improve</w:t>
      </w:r>
      <w:r w:rsidRPr="00D2345D">
        <w:t xml:space="preserve"> understand</w:t>
      </w:r>
      <w:r w:rsidR="008423A1">
        <w:t>ing of</w:t>
      </w:r>
      <w:r w:rsidRPr="00D2345D">
        <w:t xml:space="preserve"> the role of the human microbiome in modulating the immune response to HIV vaccines, we associated the gut microbiota composition, via 16S rRNA amplicon sequencing, of participants in the HIV Vaccine Trials Network 096 clinical trial to their HIV vaccine immune responses at baseline, two weeks post vaccination and six months post vaccination. We observed that (a) levels of IgG antibodies to gp41 at baseline, as well as (b) post vaccination concentrations of IgG antibodies to several vaccine targets, including the gp120 envelope protein, covaried with a subpopulation of the microbiome. Participants with bacterial communities that contained higher levels of Clostridiales had higher gp41 IgG baseline measurements and lower levels of vaccine response. Conversely, participants with low levels of Clostridiales but higher levels of Bacteroides showed the opposite effect. Furthermore, gp41 baseline and post vaccination immune responses were not directly correlated, suggesting that there are effects beyond the microbiome that also contribute to immune baselines and vaccine response heterogeneity. Our findings provide promising preliminary evidence that the microbiome may constitute an important correlate of protection and may be valuable to consider in the development of vaccines for HIV and other diseases.</w:t>
      </w:r>
    </w:p>
    <w:p w14:paraId="5D81C9F0" w14:textId="77777777" w:rsidR="00D2345D" w:rsidRPr="00D2345D" w:rsidRDefault="00D2345D" w:rsidP="00F617A6">
      <w:pPr>
        <w:pStyle w:val="Heading1"/>
        <w:rPr>
          <w:rFonts w:ascii="Times New Roman" w:hAnsi="Times New Roman" w:cs="Times New Roman"/>
          <w:b/>
          <w:bCs/>
          <w:sz w:val="48"/>
          <w:szCs w:val="48"/>
        </w:rPr>
      </w:pPr>
      <w:r w:rsidRPr="00D2345D">
        <w:t>Introduction</w:t>
      </w:r>
    </w:p>
    <w:p w14:paraId="572CDB32" w14:textId="36B1EBC0" w:rsidR="00D2345D" w:rsidRPr="00D2345D" w:rsidRDefault="00D2345D" w:rsidP="00211BCA">
      <w:pPr>
        <w:rPr>
          <w:sz w:val="24"/>
          <w:szCs w:val="24"/>
        </w:rPr>
      </w:pPr>
      <w:r w:rsidRPr="00D2345D">
        <w:lastRenderedPageBreak/>
        <w:t xml:space="preserve">Growing evidence suggests the composition and functions of the gut microbiota play a major role in regulating the immune system and its response to both pathogens and vaccines </w:t>
      </w:r>
      <w:r w:rsidR="00426B2B">
        <w:fldChar w:fldCharType="begin"/>
      </w:r>
      <w:r w:rsidR="00D34B5C">
        <w:instrText xml:space="preserve"> ADDIN ZOTERO_ITEM CSL_CITATION {"citationID":"zUZdYSin","properties":{"formattedCitation":"(Collins and Belkaid, 2017; Littman, 2017; Macpherson, 2017)","plainCitation":"(Collins and Belkaid, 2017; Littman, 2017; Macpherson, 2017)","noteIndex":0},"citationItems":[{"id":306,"uris":["http://zotero.org/groups/1167044/items/MWIV3S54"],"uri":["http://zotero.org/groups/1167044/items/MWIV3S54"],"itemData":{"id":306,"type":"article-journal","title":"Do the microbiota influence vaccines and protective immunity to pathogens?: engaging our endogenous adjuvants","container-title":"Cold Spring Harbor Perspectives in Biology","page":"a028860","source":"CrossRef","abstract":"The reliance of the immune system on constitutive microbial stimulation support the idea that\nboth responsiveness to vaccines and vaccine design need to be considered in the context of\nhost– microbiota interactions. Manipulation of microbe function or composition via\ndiet alteration or microbiota engraftment may soon become a viable approach to control\nimmunity and, as such, vaccine responses. Learning from our endogenous original adju-\nvants could be critical in overcoming the enormous hurdle of vaccine design against the\nnumerous pathogens that cause chronic infection. Going forward, rationally designed vac-\ncines that take advantage of the inherent adjuvant properties of the microbiota could have a\nmajor impact on the prevention of disease.","DOI":"10.1101/cshperspect.a028860","ISSN":"1943-0264","shortTitle":"Do the Microbiota Influence Vaccines and Protective Immunity to Pathogens?","language":"en","author":[{"family":"Collins","given":"Nicholas"},{"family":"Belkaid","given":"Yasmine"}],"issued":{"date-parts":[["2017",4,21]]}}},{"id":307,"uris":["http://zotero.org/groups/1167044/items/HHFQNWPM"],"uri":["http://zotero.org/groups/1167044/items/HHFQNWPM"],"itemData":{"id":307,"type":"article-journal","title":"Do the microbiota influence vaccines and protective immunity to pathogens?: If so, is there potential for efficacious microbiota-based vaccines?","container-title":"Cold Spring Harbor Perspectives in Biology","page":"a029355","source":"CrossRef","abstract":"The gut-resident constituents of the microbiota protect the mucosa from invasive pathogens\nthrough engagement of both innate and adaptive branches of the immune system. They are\nalso likely to provide systemic protection from pathogens, by enhancing host robustness and\ntolerance to the invasive microbes and by inducing immune responses that prevent their\ngrowth. These properties of commensal microbiota, particularly the capacity of some bac-\nteria to induce diverse types of antigen-specific immune responses, raises the prospect that\nthey could be deployed as vaccine vectors to generate effective local and systemic immunity\nto viral and bacterial pathogens.","DOI":"10.1101/cshperspect.a029355","ISSN":"1943-0264","shortTitle":"Do the Microbiota Influence Vaccines and Protective Immunity to Pathogens?","language":"en","author":[{"family":"Littman","given":"Dan R."}],"issued":{"date-parts":[["2017",4,21]]}}},{"id":305,"uris":["http://zotero.org/groups/1167044/items/GCUKIP8U"],"uri":["http://zotero.org/groups/1167044/items/GCUKIP8U"],"itemData":{"id":305,"type":"article-journal","title":"Do the microbiota influence vaccines and protective immunity to pathogens?: Issues of sovereignty, federalism, and points-testing in the prokaryotic and eukaryotic spaces of the host-microbial superorganism","container-title":"Cold Spring Harbor Perspectives in Biology","page":"a029363","source":"CrossRef","DOI":"10.1101/cshperspect.a029363","ISSN":"1943-0264","shortTitle":"Do the Microbiota Influence Vaccines and Protective Immunity to Pathogens?","language":"en","author":[{"family":"Macpherson","given":"Andrew J."}],"issued":{"date-parts":[["2017",4,21]]}}}],"schema":"https://github.com/citation-style-language/schema/raw/master/csl-citation.json"} </w:instrText>
      </w:r>
      <w:r w:rsidR="00426B2B">
        <w:fldChar w:fldCharType="separate"/>
      </w:r>
      <w:r w:rsidR="00D34B5C" w:rsidRPr="00D34B5C">
        <w:t>(Collins and Belkaid, 2017; Littman, 2017; Macpherson, 2017)</w:t>
      </w:r>
      <w:r w:rsidR="00426B2B">
        <w:fldChar w:fldCharType="end"/>
      </w:r>
      <w:r w:rsidR="00426B2B">
        <w:t>.</w:t>
      </w:r>
      <w:r w:rsidRPr="00D2345D">
        <w:t xml:space="preserve"> Regions of the human immunodeficiency virus one (HIV-1) envelope glycoprotein 41 (gp41) are frequently targeted by B cell immunoglobulins (Ig) both in vaccination and natural infection and emerging evidence suggests that antibodies recognizing gp41 cross-react with commensal bacteria in the gut</w:t>
      </w:r>
      <w:r w:rsidR="00426B2B">
        <w:t xml:space="preserve"> </w:t>
      </w:r>
      <w:r w:rsidR="00566260">
        <w:fldChar w:fldCharType="begin"/>
      </w:r>
      <w:r w:rsidR="00D34B5C">
        <w:instrText xml:space="preserve"> ADDIN ZOTERO_ITEM CSL_CITATION {"citationID":"mkBgu47X","properties":{"formattedCitation":"(Trama et al., 2014; Williams et al., 2015)","plainCitation":"(Trama et al., 2014; Williams et al., 2015)","noteIndex":0},"citationItems":[{"id":4930,"uris":["http://zotero.org/groups/1167044/items/B7UZN7LM"],"uri":["http://zotero.org/groups/1167044/items/B7UZN7LM"],"itemData":{"id":4930,"type":"article-journal","title":"HIV-1 Envelope gp41 Antibodies Can Originate from Terminal Ileum B Cells that Share Cross-Reactivity with Commensal Bacteria","container-title":"Cell Host &amp; Microbe","page":"215-226","volume":"16","issue":"2","source":"ScienceDirect","abstract":"Summary\nMonoclonal antibodies derived from blood plasma cells of acute HIV-1-infected individuals are predominantly targeted to the HIV Env gp41 and cross-reactive with commensal bacteria. To understand this phenomenon, we examined anti-HIV responses in ileum B cells using recombinant antibody technology and probed their relationship to commensal bacteria. The dominant ileum B cell response was to Env gp41. Remarkably, a majority (82%) of the ileum anti-gp41 antibodies cross-reacted with commensal bacteria, and of those, 43% showed non-HIV-1 antigen polyreactivity. Pyrosequencing revealed shared HIV-1 antibody clonal lineages between ileum and blood. Mutated immunoglobulin G antibodies cross-reactive with both Env gp41 and microbiota could also be isolated from the ileum of HIV-1 uninfected individuals. Thus, the gp41 commensal bacterial antigen cross-reactive antibodies originate in the intestine, and the gp41 Env response in HIV-1 infection can be derived from a preinfection memory B cell pool triggered by commensal bacteria that cross-react with Env.","DOI":"10.1016/j.chom.2014.07.003","ISSN":"1931-3128","journalAbbreviation":"Cell Host &amp; Microbe","author":[{"family":"Trama","given":"Ashley M."},{"family":"Moody","given":"M. Anthony"},{"family":"Alam","given":"S. Munir"},{"family":"Jaeger","given":"Frederick H."},{"family":"Lockwood","given":"Bradley"},{"family":"Parks","given":"Robert"},{"family":"Lloyd","given":"Krissey E."},{"family":"Stolarchuk","given":"Christina"},{"family":"Scearce","given":"Richard"},{"family":"Foulger","given":"Andrew"},{"family":"Marshall","given":"Dawn J."},{"family":"Whitesides","given":"John F."},{"family":"Jeffries","given":"Thomas L."},{"family":"Wiehe","given":"Kevin"},{"family":"Morris","given":"Lynn"},{"family":"Lambson","given":"Bronwen"},{"family":"Soderberg","given":"Kelly"},{"family":"Hwang","given":"Kwan-Ki"},{"family":"Tomaras","given":"Georgia D."},{"family":"Vandergrift","given":"Nathan"},{"family":"Jackson","given":"Katherine J. L."},{"family":"Roskin","given":"Krishna M."},{"family":"Boyd","given":"Scott D."},{"family":"Kepler","given":"Thomas B."},{"family":"Liao","given":"Hua-Xin"},{"family":"Haynes","given":"Barton F."}],"issued":{"date-parts":[["2014",8,13]]}}},{"id":3755,"uris":["http://zotero.org/groups/1167044/items/5275UVXW"],"uri":["http://zotero.org/groups/1167044/items/5275UVXW"],"itemData":{"id":3755,"type":"article-journal","title":"Diversion of HIV-1 vaccine–induced immunity by gp41-microbiota cross-reactive antibodies","container-title":"Science","page":"aab1253","source":"science.sciencemag.org.offcampus.lib.washington.edu","abstract":"A HIV-1 DNA prime-recombinant Adenovirus Type 5 (rAd5) boost vaccine failed to protect from HIV-1 acquisition. We studied the nature of the vaccine-induced antibody (Ab) response to HIV-1 envelope (Env). HIV-1-reactive plasma Ab titers were higher to Env gp41 than gp120, and repertoire analysis demonstrated that 93% of HIV-1-reactive Abs from memory B cells was to Env gp41. Vaccine-induced gp41-reactive monoclonal antibodies (mAbs) were non-neutralizing, and frequently polyreactive with host and environmental antigens including intestinal microbiota (IM). Next generation sequencing of an IGHV repertoire prior to vaccination revealed an Env-IM cross-reactive Ab that was clonally-related to a subsequent vaccine-induced gp41-reactive Ab. Thus, HIV-1 Env DNA-rAd5 vaccine induced a dominant IM-polyreactive, non-neutralizing gp41-reactive Ab repertoire response that was associated with no vaccine efficacy.","DOI":"10.1126/science.aab1253","ISSN":"0036-8075, 1095-9203","note":"PMID: 26229114","language":"en","author":[{"family":"Williams","given":"Wilton B."},{"family":"Liao","given":"Hua-Xin"},{"family":"Moody","given":"M. Anthony"},{"family":"Kepler","given":"Thomas B."},{"family":"Alam","given":"S. Munir"},{"family":"Gao","given":"Feng"},{"family":"Wiehe","given":"Kevin"},{"family":"Trama","given":"Ashley M."},{"family":"Jones","given":"Kathryn"},{"family":"Zhang","given":"Ruijun"},{"family":"Song","given":"Hongshuo"},{"family":"Marshall","given":"Dawn J."},{"family":"Whitesides","given":"John F."},{"family":"Sawatzki","given":"Kaitlin"},{"family":"Hua","given":"Axin"},{"family":"Liu","given":"Pinghuang"},{"family":"Tay","given":"Matthew Z."},{"family":"Seaton","given":"Kelly"},{"family":"Shen","given":"Xiaoying"},{"family":"Foulger","given":"Andrew"},{"family":"Lloyd","given":"Krissey E."},{"family":"Parks","given":"Robert"},{"family":"Pollara","given":"Justin"},{"family":"Ferrari","given":"Guido"},{"family":"Yu","given":"Jae-Sung"},{"family":"Vandergrift","given":"Nathan"},{"family":"Montefiori","given":"David C."},{"family":"Sobieszczyk","given":"Magdalena E."},{"family":"Hammer","given":"Scott"},{"family":"Karuna","given":"Shelly"},{"family":"Gilbert","given":"Peter"},{"family":"Grove","given":"Doug"},{"family":"Grunenberg","given":"Nicole"},{"family":"McElrath","given":"Julie"},{"family":"Mascola","given":"John R."},{"family":"Koup","given":"Richard A."},{"family":"Corey","given":"Lawrence"},{"family":"Nabel","given":"Gary J."},{"family":"Morgan","given":"Cecilia"},{"family":"Churchyard","given":"Gavin"},{"family":"Maenza","given":"Janine"},{"family":"Keefer","given":"Michael"},{"family":"Graham","given":"Barney S."},{"family":"Baden","given":"Lindsey R."},{"family":"Tomaras","given":"Georgia D."},{"family":"Haynes","given":"Barton F."}],"issued":{"date-parts":[["2015",7,30]]}}}],"schema":"https://github.com/citation-style-language/schema/raw/master/csl-citation.json"} </w:instrText>
      </w:r>
      <w:r w:rsidR="00566260">
        <w:fldChar w:fldCharType="separate"/>
      </w:r>
      <w:r w:rsidR="00D34B5C" w:rsidRPr="00D34B5C">
        <w:t>(Trama et al., 2014; Williams et al., 2015)</w:t>
      </w:r>
      <w:r w:rsidR="00566260">
        <w:fldChar w:fldCharType="end"/>
      </w:r>
      <w:r w:rsidRPr="00D2345D">
        <w:t>. This was demonstrated in a recent HIV-1 vaccine efficacy trial of a multiclade gp140 DNA-prime and recombinant adenovirus type 5 (rAd5) boost, which elicited a dominant gp41-reactive antibody response that was non-neutralizing and cross-reactive with the intestinal microbiota</w:t>
      </w:r>
      <w:r w:rsidR="00566260">
        <w:t xml:space="preserve"> </w:t>
      </w:r>
      <w:r w:rsidR="00566260">
        <w:fldChar w:fldCharType="begin"/>
      </w:r>
      <w:r w:rsidR="00D34B5C">
        <w:instrText xml:space="preserve"> ADDIN ZOTERO_ITEM CSL_CITATION {"citationID":"KTS2Y1H3","properties":{"formattedCitation":"(Williams et al., 2015)","plainCitation":"(Williams et al., 2015)","noteIndex":0},"citationItems":[{"id":3755,"uris":["http://zotero.org/groups/1167044/items/5275UVXW"],"uri":["http://zotero.org/groups/1167044/items/5275UVXW"],"itemData":{"id":3755,"type":"article-journal","title":"Diversion of HIV-1 vaccine–induced immunity by gp41-microbiota cross-reactive antibodies","container-title":"Science","page":"aab1253","source":"science.sciencemag.org.offcampus.lib.washington.edu","abstract":"A HIV-1 DNA prime-recombinant Adenovirus Type 5 (rAd5) boost vaccine failed to protect from HIV-1 acquisition. We studied the nature of the vaccine-induced antibody (Ab) response to HIV-1 envelope (Env). HIV-1-reactive plasma Ab titers were higher to Env gp41 than gp120, and repertoire analysis demonstrated that 93% of HIV-1-reactive Abs from memory B cells was to Env gp41. Vaccine-induced gp41-reactive monoclonal antibodies (mAbs) were non-neutralizing, and frequently polyreactive with host and environmental antigens including intestinal microbiota (IM). Next generation sequencing of an IGHV repertoire prior to vaccination revealed an Env-IM cross-reactive Ab that was clonally-related to a subsequent vaccine-induced gp41-reactive Ab. Thus, HIV-1 Env DNA-rAd5 vaccine induced a dominant IM-polyreactive, non-neutralizing gp41-reactive Ab repertoire response that was associated with no vaccine efficacy.","DOI":"10.1126/science.aab1253","ISSN":"0036-8075, 1095-9203","note":"PMID: 26229114","language":"en","author":[{"family":"Williams","given":"Wilton B."},{"family":"Liao","given":"Hua-Xin"},{"family":"Moody","given":"M. Anthony"},{"family":"Kepler","given":"Thomas B."},{"family":"Alam","given":"S. Munir"},{"family":"Gao","given":"Feng"},{"family":"Wiehe","given":"Kevin"},{"family":"Trama","given":"Ashley M."},{"family":"Jones","given":"Kathryn"},{"family":"Zhang","given":"Ruijun"},{"family":"Song","given":"Hongshuo"},{"family":"Marshall","given":"Dawn J."},{"family":"Whitesides","given":"John F."},{"family":"Sawatzki","given":"Kaitlin"},{"family":"Hua","given":"Axin"},{"family":"Liu","given":"Pinghuang"},{"family":"Tay","given":"Matthew Z."},{"family":"Seaton","given":"Kelly"},{"family":"Shen","given":"Xiaoying"},{"family":"Foulger","given":"Andrew"},{"family":"Lloyd","given":"Krissey E."},{"family":"Parks","given":"Robert"},{"family":"Pollara","given":"Justin"},{"family":"Ferrari","given":"Guido"},{"family":"Yu","given":"Jae-Sung"},{"family":"Vandergrift","given":"Nathan"},{"family":"Montefiori","given":"David C."},{"family":"Sobieszczyk","given":"Magdalena E."},{"family":"Hammer","given":"Scott"},{"family":"Karuna","given":"Shelly"},{"family":"Gilbert","given":"Peter"},{"family":"Grove","given":"Doug"},{"family":"Grunenberg","given":"Nicole"},{"family":"McElrath","given":"Julie"},{"family":"Mascola","given":"John R."},{"family":"Koup","given":"Richard A."},{"family":"Corey","given":"Lawrence"},{"family":"Nabel","given":"Gary J."},{"family":"Morgan","given":"Cecilia"},{"family":"Churchyard","given":"Gavin"},{"family":"Maenza","given":"Janine"},{"family":"Keefer","given":"Michael"},{"family":"Graham","given":"Barney S."},{"family":"Baden","given":"Lindsey R."},{"family":"Tomaras","given":"Georgia D."},{"family":"Haynes","given":"Barton F."}],"issued":{"date-parts":[["2015",7,30]]}}}],"schema":"https://github.com/citation-style-language/schema/raw/master/csl-citation.json"} </w:instrText>
      </w:r>
      <w:r w:rsidR="00566260">
        <w:fldChar w:fldCharType="separate"/>
      </w:r>
      <w:r w:rsidR="00D34B5C" w:rsidRPr="00D34B5C">
        <w:t>(Williams et al., 2015)</w:t>
      </w:r>
      <w:r w:rsidR="00566260">
        <w:fldChar w:fldCharType="end"/>
      </w:r>
      <w:r w:rsidRPr="00D2345D">
        <w:t xml:space="preserve">. It remains an open question whether priming of gp41-reactive and possibly other HIV-1-reactive immune responses directly </w:t>
      </w:r>
      <w:r w:rsidR="00A042CA" w:rsidRPr="00D2345D">
        <w:t>influence</w:t>
      </w:r>
      <w:r w:rsidRPr="00D2345D">
        <w:t xml:space="preserve"> the vaccine-induced response.  The microbiome has furthermore been postulated to modulate vaccine response </w:t>
      </w:r>
      <w:r w:rsidR="00566260">
        <w:fldChar w:fldCharType="begin"/>
      </w:r>
      <w:r w:rsidR="00D34B5C">
        <w:instrText xml:space="preserve"> ADDIN ZOTERO_ITEM CSL_CITATION {"citationID":"SlL20NIC","properties":{"formattedCitation":"(Collins and Belkaid, 2017; Littman, 2017; Macpherson, 2017)","plainCitation":"(Collins and Belkaid, 2017; Littman, 2017; Macpherson, 2017)","noteIndex":0},"citationItems":[{"id":306,"uris":["http://zotero.org/groups/1167044/items/MWIV3S54"],"uri":["http://zotero.org/groups/1167044/items/MWIV3S54"],"itemData":{"id":306,"type":"article-journal","title":"Do the microbiota influence vaccines and protective immunity to pathogens?: engaging our endogenous adjuvants","container-title":"Cold Spring Harbor Perspectives in Biology","page":"a028860","source":"CrossRef","abstract":"The reliance of the immune system on constitutive microbial stimulation support the idea that\nboth responsiveness to vaccines and vaccine design need to be considered in the context of\nhost– microbiota interactions. Manipulation of microbe function or composition via\ndiet alteration or microbiota engraftment may soon become a viable approach to control\nimmunity and, as such, vaccine responses. Learning from our endogenous original adju-\nvants could be critical in overcoming the enormous hurdle of vaccine design against the\nnumerous pathogens that cause chronic infection. Going forward, rationally designed vac-\ncines that take advantage of the inherent adjuvant properties of the microbiota could have a\nmajor impact on the prevention of disease.","DOI":"10.1101/cshperspect.a028860","ISSN":"1943-0264","shortTitle":"Do the Microbiota Influence Vaccines and Protective Immunity to Pathogens?","language":"en","author":[{"family":"Collins","given":"Nicholas"},{"family":"Belkaid","given":"Yasmine"}],"issued":{"date-parts":[["2017",4,21]]}}},{"id":307,"uris":["http://zotero.org/groups/1167044/items/HHFQNWPM"],"uri":["http://zotero.org/groups/1167044/items/HHFQNWPM"],"itemData":{"id":307,"type":"article-journal","title":"Do the microbiota influence vaccines and protective immunity to pathogens?: If so, is there potential for efficacious microbiota-based vaccines?","container-title":"Cold Spring Harbor Perspectives in Biology","page":"a029355","source":"CrossRef","abstract":"The gut-resident constituents of the microbiota protect the mucosa from invasive pathogens\nthrough engagement of both innate and adaptive branches of the immune system. They are\nalso likely to provide systemic protection from pathogens, by enhancing host robustness and\ntolerance to the invasive microbes and by inducing immune responses that prevent their\ngrowth. These properties of commensal microbiota, particularly the capacity of some bac-\nteria to induce diverse types of antigen-specific immune responses, raises the prospect that\nthey could be deployed as vaccine vectors to generate effective local and systemic immunity\nto viral and bacterial pathogens.","DOI":"10.1101/cshperspect.a029355","ISSN":"1943-0264","shortTitle":"Do the Microbiota Influence Vaccines and Protective Immunity to Pathogens?","language":"en","author":[{"family":"Littman","given":"Dan R."}],"issued":{"date-parts":[["2017",4,21]]}}},{"id":305,"uris":["http://zotero.org/groups/1167044/items/GCUKIP8U"],"uri":["http://zotero.org/groups/1167044/items/GCUKIP8U"],"itemData":{"id":305,"type":"article-journal","title":"Do the microbiota influence vaccines and protective immunity to pathogens?: Issues of sovereignty, federalism, and points-testing in the prokaryotic and eukaryotic spaces of the host-microbial superorganism","container-title":"Cold Spring Harbor Perspectives in Biology","page":"a029363","source":"CrossRef","DOI":"10.1101/cshperspect.a029363","ISSN":"1943-0264","shortTitle":"Do the Microbiota Influence Vaccines and Protective Immunity to Pathogens?","language":"en","author":[{"family":"Macpherson","given":"Andrew J."}],"issued":{"date-parts":[["2017",4,21]]}}}],"schema":"https://github.com/citation-style-language/schema/raw/master/csl-citation.json"} </w:instrText>
      </w:r>
      <w:r w:rsidR="00566260">
        <w:fldChar w:fldCharType="separate"/>
      </w:r>
      <w:r w:rsidR="00D34B5C" w:rsidRPr="00D34B5C">
        <w:t>(Collins and Belkaid, 2017; Littman, 2017; Macpherson, 2017)</w:t>
      </w:r>
      <w:r w:rsidR="00566260">
        <w:fldChar w:fldCharType="end"/>
      </w:r>
      <w:r w:rsidRPr="00D2345D">
        <w:t>, and indeed has been shown to associate with vaccine response in other diseases</w:t>
      </w:r>
      <w:r w:rsidR="00566260">
        <w:t xml:space="preserve"> </w:t>
      </w:r>
      <w:r w:rsidR="00566260">
        <w:fldChar w:fldCharType="begin"/>
      </w:r>
      <w:r w:rsidR="00D34B5C">
        <w:instrText xml:space="preserve"> ADDIN ZOTERO_ITEM CSL_CITATION {"citationID":"yo8F5uzE","properties":{"formattedCitation":"(Harris et al., 2017; Huda et al., 2014; Zimmermann and Curtis, 2018)","plainCitation":"(Harris et al., 2017; Huda et al., 2014; Zimmermann and Curtis, 2018)","noteIndex":0},"citationItems":[{"id":299,"uris":["http://zotero.org/groups/1167044/items/PV9FM27M"],"uri":["http://zotero.org/groups/1167044/items/PV9FM27M"],"itemData":{"id":299,"type":"article-journal","title":"Significant correlation between the infant gut microbiome and rotavirus vaccine response in rural ghana","container-title":"The Journal of Infectious Diseases","page":"34-41","volume":"215","issue":"1","source":"academic.oup.com","DOI":"10.1093/infdis/jiw518","ISSN":"0022-1899","journalAbbreviation":"J Infect Dis","author":[{"family":"Harris","given":"Vanessa C."},{"family":"Armah","given":"George"},{"family":"Fuentes","given":"Susana"},{"family":"Korpela","given":"Katri E."},{"family":"Parashar","given":"Umesh"},{"family":"Victor","given":"John C."},{"family":"Tate","given":"Jacqueline"},{"family":"Weerth","given":"Carolina","non-dropping-particle":"de"},{"family":"Giaquinto","given":"Carlo"},{"family":"Wiersinga","given":"Willem Joost"},{"family":"Lewis","given":"Kristen D. C."},{"family":"Vos","given":"De"},{"family":"M","given":"Willem"}],"issued":{"date-parts":[["2017",1,1]]}}},{"id":3764,"uris":["http://zotero.org/groups/1167044/items/RIE2T7VD"],"uri":["http://zotero.org/groups/1167044/items/RIE2T7VD"],"itemData":{"id":3764,"type":"article-journal","title":"Stool microbiota and vaccine responses of infants","container-title":"Pediatrics","page":"e362-e372","volume":"134","issue":"2","source":"CrossRef","DOI":"10.1542/peds.2013-3937","ISSN":"0031-4005, 1098-4275","language":"en","author":[{"family":"Huda","given":"M. N."},{"family":"Lewis","given":"Z."},{"family":"Kalanetra","given":"K. M."},{"family":"Rashid","given":"M."},{"family":"Ahmad","given":"S. M."},{"family":"Raqib","given":"R."},{"family":"Qadri","given":"F."},{"family":"Underwood","given":"M. A."},{"family":"Mills","given":"D. A."},{"family":"Stephensen","given":"C. B."}],"issued":{"date-parts":[["2014",8,1]]}}},{"id":4520,"uris":["http://zotero.org/groups/1167044/items/D76RFWCD"],"uri":["http://zotero.org/groups/1167044/items/D76RFWCD"],"itemData":{"id":4520,"type":"article-journal","title":"The influence of probiotics on vaccine responses – A systematic review","container-title":"Vaccine","page":"207-213","volume":"36","issue":"2","source":"CrossRef","DOI":"10.1016/j.vaccine.2017.08.069","ISSN":"0264410X","language":"en","author":[{"family":"Zimmermann","given":"Petra"},{"family":"Curtis","given":"Nigel"}],"issued":{"date-parts":[["2018",1]]}}}],"schema":"https://github.com/citation-style-language/schema/raw/master/csl-citation.json"} </w:instrText>
      </w:r>
      <w:r w:rsidR="00566260">
        <w:fldChar w:fldCharType="separate"/>
      </w:r>
      <w:r w:rsidR="00D34B5C" w:rsidRPr="00D34B5C">
        <w:t>(Harris et al., 2017; Huda et al., 2014; Zimmermann and Curtis, 2018)</w:t>
      </w:r>
      <w:r w:rsidR="00566260">
        <w:fldChar w:fldCharType="end"/>
      </w:r>
      <w:r w:rsidRPr="00D2345D">
        <w:t>.</w:t>
      </w:r>
    </w:p>
    <w:p w14:paraId="6EE1F34A" w14:textId="06469712" w:rsidR="00D2345D" w:rsidRPr="00D2345D" w:rsidRDefault="00D2345D" w:rsidP="00211BCA">
      <w:pPr>
        <w:rPr>
          <w:sz w:val="24"/>
          <w:szCs w:val="24"/>
        </w:rPr>
      </w:pPr>
      <w:r w:rsidRPr="00D2345D">
        <w:t>The RV144 vaccine efficacy trial showed that an HIV-1 Env containing pox-vector prime and bivalent recombinant Env gp120 boost provide</w:t>
      </w:r>
      <w:r w:rsidR="008423A1">
        <w:t>s</w:t>
      </w:r>
      <w:r w:rsidRPr="00D2345D">
        <w:t xml:space="preserve"> partial efficacy against HIV-1 infec</w:t>
      </w:r>
      <w:r w:rsidR="008423A1">
        <w:t>tion</w:t>
      </w:r>
      <w:r w:rsidR="00566260">
        <w:t xml:space="preserve"> </w:t>
      </w:r>
      <w:r w:rsidR="00566260">
        <w:fldChar w:fldCharType="begin"/>
      </w:r>
      <w:r w:rsidR="00D34B5C">
        <w:instrText xml:space="preserve"> ADDIN ZOTERO_ITEM CSL_CITATION {"citationID":"4g5fCcpR","properties":{"formattedCitation":"(Rerks-Ngarm et al., 2009)","plainCitation":"(Rerks-Ngarm et al., 2009)","noteIndex":0},"citationItems":[{"id":4663,"uris":["http://zotero.org/groups/1167044/items/DZPUAW7U"],"uri":["http://zotero.org/groups/1167044/items/DZPUAW7U"],"itemData":{"id":4663,"type":"article-journal","title":"Vaccination with ALVAC and AIDSVAX to Prevent HIV-1 Infection in Thailand","container-title":"New England Journal of Medicine","page":"2209-2220","volume":"361","issue":"23","source":"Taylor and Francis+NEJM","abstract":"With more than 7000 new HIV infections each day, there is a tremendous need for a prophylactic HIV vaccine. In this study involving more than 16,000 largely heterosexual subjects in Thailand, a vaccine regimen against HIV showed some efficacy against HIV acquisition but did not have an effect on the subsequent viral load or CD4+ count in those who became infected.","DOI":"10.1056/NEJMoa0908492","ISSN":"0028-4793","note":"PMID: 19843557","author":[{"family":"Rerks-Ngarm","given":"Supachai"},{"family":"Pitisuttithum","given":"Punnee"},{"family":"Nitayaphan","given":"Sorachai"},{"family":"Kaewkungwal","given":"Jaranit"},{"family":"Chiu","given":"Joseph"},{"family":"Paris","given":"Robert"},{"family":"Premsri","given":"Nakorn"},{"family":"Namwat","given":"Chawetsan"},{"family":"Souza","given":"Mark","non-dropping-particle":"de"},{"family":"Adams","given":"Elizabeth"},{"family":"Benenson","given":"Michael"},{"family":"Gurunathan","given":"Sanjay"},{"family":"Tartaglia","given":"Jim"},{"family":"McNeil","given":"John G."},{"family":"Francis","given":"Donald P."},{"family":"Stablein","given":"Donald"},{"family":"Birx","given":"Deborah L."},{"family":"Chunsuttiwat","given":"Supamit"},{"family":"Khamboonruang","given":"Chirasak"},{"family":"Thongcharoen","given":"Prasert"},{"family":"Robb","given":"Merlin L."},{"family":"Michael","given":"Nelson L."},{"family":"Kunasol","given":"Prayura"},{"family":"Kim","given":"Jerome H."}],"issued":{"date-parts":[["2009",12,3]]}}}],"schema":"https://github.com/citation-style-language/schema/raw/master/csl-citation.json"} </w:instrText>
      </w:r>
      <w:r w:rsidR="00566260">
        <w:fldChar w:fldCharType="separate"/>
      </w:r>
      <w:r w:rsidR="00D34B5C" w:rsidRPr="00D34B5C">
        <w:t>(Rerks-Ngarm et al., 2009)</w:t>
      </w:r>
      <w:r w:rsidR="00566260">
        <w:fldChar w:fldCharType="end"/>
      </w:r>
      <w:r w:rsidR="008423A1">
        <w:t>. N</w:t>
      </w:r>
      <w:r w:rsidRPr="00D2345D">
        <w:t>umerous follow-up studies now support the hypothe</w:t>
      </w:r>
      <w:r w:rsidR="008423A1">
        <w:t xml:space="preserve">sis that Env V1V2-specific IgG </w:t>
      </w:r>
      <w:r w:rsidRPr="00D2345D">
        <w:t>was associated with decreased risk of infection among vaccine recipients</w:t>
      </w:r>
      <w:r w:rsidR="00566260">
        <w:t xml:space="preserve"> </w:t>
      </w:r>
      <w:r w:rsidR="00566260">
        <w:fldChar w:fldCharType="begin"/>
      </w:r>
      <w:r w:rsidR="00D34B5C">
        <w:instrText xml:space="preserve"> ADDIN ZOTERO_ITEM CSL_CITATION {"citationID":"rF5iAWKV","properties":{"formattedCitation":"(Haynes et al., 2012; Yates et al., 2014; Zolla-Pazner et al., 2014)","plainCitation":"(Haynes et al., 2012; Yates et al., 2014; Zolla-Pazner et al., 2014)","noteIndex":0},"citationItems":[{"id":4934,"uris":["http://zotero.org/groups/1167044/items/K8AF4S47"],"uri":["http://zotero.org/groups/1167044/items/K8AF4S47"],"itemData":{"id":4934,"type":"article-journal","title":"Immune-Correlates Analysis of an HIV-1 Vaccine Efficacy Trial","container-title":"New England Journal of Medicine","page":"1275-1286","volume":"366","issue":"14","source":"Crossref","abstract":"BACKGROUND—In the RV144 trial, the estimated efficacy of a vaccine regimen against human immunodeficiency virus type 1 (HIV-1) was 31.2%. We performed a case–control analysis to identify antibody and cellular immune correlates of infection risk.\nMETHODS—In pilot studies conducted with RV144 blood samples, 17 antibody or cellular assays met prespecified criteria, of which 6 were chosen for primary analysis to determine the roles of T-cell, IgG antibody, and IgA antibody responses in the modulation of infection risk. Assays were performed on samples from 41 vaccinees who became infected and 205 uninfected vaccinees, obtained 2 weeks after final immunization, to evaluate whether immune-response variables predicted HIV-1 infection through 42 months of follow-up.\nRESULTS—Of six primary variables, two correlated significantly with infection risk: the binding of IgG antibodies to variable regions 1 and 2 (V1V2) of HIV-1 envelope proteins (Env) correlated inversely with the rate of HIV-1 infection (estimated odds ratio, 0.57 per 1-SD increase; P = 0.02; q = 0.08), and the binding of plasma IgA antibodies to Env correlated directly with the rate of infection (estimated odds ratio, 1.54 per 1-SD increase; P = 0.03; q = 0.08). Neither low levels of V1V2 antibodies nor high levels of Env-specific IgA antibodies were associated with higher rates of infection than were found in the placebo group. Secondary analyses suggested that Env-specific IgA antibodies may mitigate the effects of potentially protective antibodies.\nCONCLUSIONS—This immune-correlates study generated the hypotheses that V1V2 antibodies may have contributed to protection against HIV-1 infection, whereas high levels of Env-specific IgA antibodies may have mitigated the effects of protective antibodies. Vaccines that are designed","DOI":"10.1056/NEJMoa1113425","ISSN":"0028-4793, 1533-4406","language":"en","author":[{"family":"Haynes","given":"Barton F."},{"family":"Gilbert","given":"Peter B."},{"family":"McElrath","given":"M. Juliana"},{"family":"Zolla-Pazner","given":"Susan"},{"family":"Tomaras","given":"Georgia D."},{"family":"Alam","given":"S. Munir"},{"family":"Evans","given":"David T."},{"family":"Montefiori","given":"David C."},{"family":"Karnasuta","given":"Chitraporn"},{"family":"Sutthent","given":"Ruengpueng"},{"family":"Liao","given":"Hua-Xin"},{"family":"DeVico","given":"Anthony L."},{"family":"Lewis","given":"George K."},{"family":"Williams","given":"Constance"},{"family":"Pinter","given":"Abraham"},{"family":"Fong","given":"Youyi"},{"family":"Janes","given":"Holly"},{"family":"DeCamp","given":"Allan"},{"family":"Huang","given":"Yunda"},{"family":"Rao","given":"Mangala"},{"family":"Billings","given":"Erik"},{"family":"Karasavvas","given":"Nicos"},{"family":"Robb","given":"Merlin L."},{"family":"Ngauy","given":"Viseth"},{"family":"Souza","given":"Mark S.","non-dropping-particle":"de"},{"family":"Paris","given":"Robert"},{"family":"Ferrari","given":"Guido"},{"family":"Bailer","given":"Robert T."},{"family":"Soderberg","given":"Kelly A."},{"family":"Andrews","given":"Charla"},{"family":"Berman","given":"Phillip W."},{"family":"Frahm","given":"Nicole"},{"family":"De Rosa","given":"Stephen C."},{"family":"Alpert","given":"Michael D."},{"family":"Yates","given":"Nicole L."},{"family":"Shen","given":"Xiaoying"},{"family":"Koup","given":"Richard A."},{"family":"Pitisuttithum","given":"Punnee"},{"family":"Kaewkungwal","given":"Jaranit"},{"family":"Nitayaphan","given":"Sorachai"},{"family":"Rerks-Ngarm","given":"Supachai"},{"family":"Michael","given":"Nelson L."},{"family":"Kim","given":"Jerome H."}],"issued":{"date-parts":[["2012",4,5]]}}},{"id":4565,"uris":["http://zotero.org/groups/1167044/items/7JWT34BI"],"uri":["http://zotero.org/groups/1167044/items/7JWT34BI"],"itemData":{"id":4565,"type":"article-journal","title":"Vaccine-Induced Env V1–V2 IgG3 Correlates with Lower HIV-1 Infection Risk and Declines Soon After Vaccination","container-title":"Science translational medicine","page":"228ra39","volume":"6","issue":"228","source":"PubMed Central","abstract":"HIV-1–specific immunoglobulin G (IgG) subclass antibodies bind to distinct cellular Fc receptors. Antibodies of the same epitope specificity but of a different subclass therefore can have different antibody effector functions. The study of IgG subclass profiles between different vaccine regimens used in clinical trials with divergent efficacy outcomes can provide information on the quality of the vaccine-induced B cell response. We show that HIV-1–specific IgG3 distinguished two HIV-1 vaccine efficacy studies (RV144 and VAX003 clinical trials) and correlated with decreased risk of HIV-1 infection in a blinded follow-up case-control study with the RV144 vaccine. HIV-1–specific IgG3 responses were not long-lived, which was consistent with the waning efficacy of the RV144 vaccine. These data suggest that specific vaccine-induced HIV-1 IgG3 should be tested in future studies of immune correlates in HIV-1 vaccine efficacy trials.","DOI":"10.1126/scitranslmed.3007730","ISSN":"1946-6234","note":"PMID: 24648342\nPMCID: PMC4116665","journalAbbreviation":"Sci Transl Med","author":[{"family":"Yates","given":"Nicole L."},{"family":"Liao","given":"Hua-Xin"},{"family":"Fong","given":"Youyi"},{"family":"deCamp","given":"Allan"},{"family":"Vandergrift","given":"Nathan A."},{"family":"Williams","given":"William T."},{"family":"Alam","given":"S. Munir"},{"family":"Ferrari","given":"Guido"},{"family":"Yang","given":"Zhi-yong"},{"family":"Seaton","given":"Kelly E."},{"family":"Berman","given":"Phillip W."},{"family":"Alpert","given":"Michael D."},{"family":"Evans","given":"David T."},{"family":"O’Connell","given":"Robert J."},{"family":"Francis","given":"Donald"},{"family":"Sinangil","given":"Faruk"},{"family":"Lee","given":"Carter"},{"family":"Nitayaphan","given":"Sorachai"},{"family":"Rerks-Ngarm","given":"Supachai"},{"family":"Kaewkungwal","given":"Jaranit"},{"family":"Pitisuttithum","given":"Punnee"},{"family":"Tartaglia","given":"James"},{"family":"Pinter","given":"Abraham"},{"family":"Zolla-Pazner","given":"Susan"},{"family":"Gilbert","given":"Peter B."},{"family":"Nabel","given":"Gary J."},{"family":"Michael","given":"Nelson L."},{"family":"Kim","given":"Jerome H."},{"family":"Montefiori","given":"David C."},{"family":"Haynes","given":"Barton F."},{"family":"Tomaras","given":"Georgia D."}],"issued":{"date-parts":[["2014",3,19]]}}},{"id":4935,"uris":["http://zotero.org/groups/1167044/items/5YRAURMR"],"uri":["http://zotero.org/groups/1167044/items/5YRAURMR"],"itemData":{"id":4935,"type":"article-journal","title":"Vaccine-Induced IgG Antibodies to V1V2 Regions of Multiple HIV-1 Subtypes Correlate with Decreased Risk of HIV-1 Infection","container-title":"PLOS ONE","page":"e87572","volume":"9","issue":"2","source":"PLoS Journals","abstract":"In the RV144 HIV-1 vaccine efficacy trial, IgG antibody (Ab) binding levels to variable regions 1 and 2 (V1V2) of the HIV-1 envelope glycoprotein gp120 were an inverse correlate of risk of HIV-1 infection. To determine if V1V2-specific Abs cross-react with V1V2 from different HIV-1 subtypes, if the nature of the V1V2 antigen used to asses cross-reactivity influenced infection risk, and to identify immune assays for upcoming HIV-1 vaccine efficacy trials, new V1V2-scaffold antigens were designed and tested. Protein scaffold antigens carrying the V1V2 regions from HIV-1 subtypes A, B, C, D or CRF01_AE were assayed in pilot studies, and six were selected to assess cross-reactive Abs in the plasma from the original RV144 case-control cohort (41 infected vaccinees, 205 frequency-matched uninfected vaccinees, and 40 placebo recipients) using ELISA and a binding Ab multiplex assay. IgG levels to these antigens were assessed as correlates of risk in vaccine recipients using weighted logistic regression models. Levels of Abs reactive with subtype A, B, C and CRF01_AE V1V2-scaffold antigens were all significant inverse correlates of risk (p-values of 0.0008–0.05; estimated odds ratios of 0.53–0.68 per 1 standard deviation increase). Thus, levels of vaccine-induced IgG Abs recognizing V1V2 regions from multiple HIV-1 subtypes, and presented on different scaffolds, constitute inverse correlates of risk for HIV-1 infection in the RV144 vaccine trial. The V1V2 antigens provide a link between RV144 and upcoming HIV-1 vaccine trials, and identify reagents and methods for evaluating V1V2 Abs as possible correlates of protection against HIV-1 infection. Trial Registration ClinicalTrials.gov NCT00223080","DOI":"10.1371/journal.pone.0087572","ISSN":"1932-6203","journalAbbreviation":"PLOS ONE","language":"en","author":[{"family":"Zolla-Pazner","given":"Susan"},{"family":"deCamp","given":"Allan"},{"family":"Gilbert","given":"Peter B."},{"family":"Williams","given":"Constance"},{"family":"Yates","given":"Nicole L."},{"family":"Williams","given":"William T."},{"family":"Howington","given":"Robert"},{"family":"Fong","given":"Youyi"},{"family":"Morris","given":"Daryl E."},{"family":"Soderberg","given":"Kelly A."},{"family":"Irene","given":"Carmela"},{"family":"Reichman","given":"Charles"},{"family":"Pinter","given":"Abraham"},{"family":"Parks","given":"Robert"},{"family":"Pitisuttithum","given":"Punnee"},{"family":"Kaewkungwal","given":"Jaranit"},{"family":"Rerks-Ngarm","given":"Supachai"},{"family":"Nitayaphan","given":"Sorachai"},{"family":"Andrews","given":"Charla"},{"family":"O’Connell","given":"Robert J."},{"family":"Yang","given":"Zhi-yong"},{"family":"Nabel","given":"Gary J."},{"family":"Kim","given":"Jerome H."},{"family":"Michael","given":"Nelson L."},{"family":"Montefiori","given":"David C."},{"family":"Liao","given":"Hua-Xin"},{"family":"Haynes","given":"Barton F."},{"family":"Tomaras","given":"Georgia D."}],"issued":{"date-parts":[["2014",2,4]]}}}],"schema":"https://github.com/citation-style-language/schema/raw/master/csl-citation.json"} </w:instrText>
      </w:r>
      <w:r w:rsidR="00566260">
        <w:fldChar w:fldCharType="separate"/>
      </w:r>
      <w:r w:rsidR="00D34B5C" w:rsidRPr="00D34B5C">
        <w:t>(Haynes et al., 2012; Yates et al., 2014; Zolla-Pazner et al., 2014)</w:t>
      </w:r>
      <w:r w:rsidR="00566260">
        <w:fldChar w:fldCharType="end"/>
      </w:r>
      <w:r w:rsidRPr="00D2345D">
        <w:t>. Follow-up analyses suggest that efficacy was &gt;60% from 3-6 months after the first vaccination, but waned over the first 6 - 12 months</w:t>
      </w:r>
      <w:r w:rsidR="00980826">
        <w:t xml:space="preserve"> </w:t>
      </w:r>
      <w:r w:rsidR="00980826">
        <w:fldChar w:fldCharType="begin"/>
      </w:r>
      <w:r w:rsidR="00D34B5C">
        <w:instrText xml:space="preserve"> ADDIN ZOTERO_ITEM CSL_CITATION {"citationID":"yecM9wrw","properties":{"formattedCitation":"(Robb et al., 2012)","plainCitation":"(Robb et al., 2012)","noteIndex":0},"citationItems":[{"id":4669,"uris":["http://zotero.org/groups/1167044/items/9XXK8B59"],"uri":["http://zotero.org/groups/1167044/items/9XXK8B59"],"itemData":{"id":4669,"type":"article-journal","title":"Risk behaviour and time as covariates for efficacy of the HIV vaccine regimen ALVAC-HIV (vCP1521) and AIDSVAX B/E: a post-hoc analysis of the Thai phase 3 efficacy trial RV 144","container-title":"The Lancet Infectious Diseases","page":"531-537","volume":"12","issue":"7","source":"ScienceDirect","abstract":"Summary\nBackground\nThe Thai phase 3 HIV vaccine trial RV 144 showed modest efficacy of a vaccine against HIV acquisition. Baseline variables of age, sex, marital status, and risk did not modify vaccine efficacy. We did a post-hoc analysis of the trial's data to investigate behavioural risk and efficacy every 6 months after vaccination.\nMethods\nRV 144 was a randomised, multicentre, double-blind, placebo-controlled efficacy trial testing the combination of the HIV vaccines ALVAC-HIV (vCP1521) and AIDSVAX B/E to prevent HIV infection or reduce setpoint viral load. Male and female volunteers aged 18–30 years were recruited from the community. In this post-hoc analysis of the modified intention-to-treat population (16 395 participants), HIV risk behaviour was assessed with a self-administered questionnaire at the time of initial vaccination in the trial and every 6 months thereafter for 3 years. We classified participants' behaviour as low, medium, or high risk. Both the acquisition endpoint and the early viral-load endpoint were examined for interactions with risk status over time and temporal effects after vaccination. Multiple proportional hazards regression models with treatment and time-varying risk covariates were analysed.\nFindings\nRisk of acquisition of HIV was low in each risk group, but 9187 (58·2%) participants reported higher-risk behaviour at least once during the study. Participants classified as high or increasing risk at least once during follow-up were compared with those who maintained low-risk or medium-risk behaviour as a time-varying covariate, and the interaction of risk status and acquisition efficacy was significant (p=0·01), with greater benefit in low-risk individuals. Vaccine efficacy seemed to peak early—cumulative vaccine efficacy was estimated to be 60·5% (95% CI 22–80) through the 12 months after initial vaccination—and declined quickly. Vaccination did not seem to affect viral load in either early or late infections.\nInterpretation\nFuture HIV vaccine trials should recognise potential interactions between challenge intensity and risk heterogeneity in both population and treatment effects. The regimen tested in the RV 144 phase 3 trial might benefit from extended immunisation schedules.\nFunding\nUS Army Medical Research and Materiel Command and Division of AIDS, National Institute of Allergy and Infectious Disease, National Institutes of Health.","DOI":"10.1016/S1473-3099(12)70088-9","ISSN":"1473-3099","shortTitle":"Risk behaviour and time as covariates for efficacy of the HIV vaccine regimen ALVAC-HIV (vCP1521) and AIDSVAX B/E","journalAbbreviation":"The Lancet Infectious Diseases","author":[{"family":"Robb","given":"Merlin L"},{"family":"Rerks-Ngarm","given":"Supachai"},{"family":"Nitayaphan","given":"Sorachai"},{"family":"Pitisuttithum","given":"Punnee"},{"family":"Kaewkungwal","given":"Jaranit"},{"family":"Kunasol","given":"Prayura"},{"family":"Khamboonruang","given":"Chirasak"},{"family":"Thongcharoen","given":"Prasert"},{"family":"Morgan","given":"Patricia"},{"family":"Benenson","given":"Michael"},{"family":"Paris","given":"Robert M"},{"family":"Chiu","given":"Joseph"},{"family":"Adams","given":"Elizabeth"},{"family":"Francis","given":"Donald"},{"family":"Gurunathan","given":"Sanjay"},{"family":"Tartaglia","given":"Jim"},{"family":"Gilbert","given":"Peter"},{"family":"Stablein","given":"Don"},{"family":"Michael","given":"Nelson L"},{"family":"Kim","given":"Jerome H"}],"issued":{"date-parts":[["2012",7,1]]}}}],"schema":"https://github.com/citation-style-language/schema/raw/master/csl-citation.json"} </w:instrText>
      </w:r>
      <w:r w:rsidR="00980826">
        <w:fldChar w:fldCharType="separate"/>
      </w:r>
      <w:r w:rsidR="00D34B5C" w:rsidRPr="00D34B5C">
        <w:t>(Robb et al., 2012)</w:t>
      </w:r>
      <w:r w:rsidR="00980826">
        <w:fldChar w:fldCharType="end"/>
      </w:r>
      <w:r w:rsidR="00980826">
        <w:t>,</w:t>
      </w:r>
      <w:r w:rsidRPr="00D2345D">
        <w:t xml:space="preserve"> suggesting that improved antibody durability could</w:t>
      </w:r>
      <w:r w:rsidR="008423A1">
        <w:t xml:space="preserve"> be a path to improved efficacy</w:t>
      </w:r>
      <w:r w:rsidRPr="00D2345D">
        <w:t>. The HIV Vaccine Trials Network (HVTN) 096 study</w:t>
      </w:r>
      <w:r w:rsidR="00980826">
        <w:t xml:space="preserve"> </w:t>
      </w:r>
      <w:r w:rsidR="00980826">
        <w:fldChar w:fldCharType="begin"/>
      </w:r>
      <w:r w:rsidR="00D34B5C">
        <w:instrText xml:space="preserve"> ADDIN ZOTERO_ITEM CSL_CITATION {"citationID":"9rP3ed2n","properties":{"formattedCitation":"(Pantaleo et al., In Prep)","plainCitation":"(Pantaleo et al., In Prep)","noteIndex":0},"citationItems":[{"id":4682,"uris":["http://zotero.org/groups/1167044/items/QDFI6X7V"],"uri":["http://zotero.org/groups/1167044/items/QDFI6X7V"],"itemData":{"id":4682,"type":"article-journal","title":"Co-administration of HIV Env protein with DNA and/or NYVAC vaccines in humans results in earlier and potent generation of anti-Env antibody responses","abstract":"Karuna","author":[{"family":"Pantaleo","given":"Giuseppe"},{"family":"Janes","given":"Holly"},{"family":"Karuna","given":"Shelly"},{"family":"Grant","given":"Shannon"},{"family":"Ouedraogo","given":"Liassa"}],"issued":{"literal":"In Prep"}}}],"schema":"https://github.com/citation-style-language/schema/raw/master/csl-citation.json"} </w:instrText>
      </w:r>
      <w:r w:rsidR="00980826">
        <w:fldChar w:fldCharType="separate"/>
      </w:r>
      <w:r w:rsidR="00D34B5C" w:rsidRPr="00D34B5C">
        <w:t>(Pantaleo et al., In Prep)</w:t>
      </w:r>
      <w:r w:rsidR="00980826">
        <w:fldChar w:fldCharType="end"/>
      </w:r>
      <w:r w:rsidRPr="00D2345D">
        <w:t xml:space="preserve"> evaluated several pox prime, gp120 boost regimens with an objective to improve upon the immune responses elicited by the RV144 vaccine. Co-administration of AIDSVAX</w:t>
      </w:r>
      <w:r w:rsidRPr="00D2345D">
        <w:rPr>
          <w:sz w:val="13"/>
          <w:szCs w:val="13"/>
          <w:vertAlign w:val="superscript"/>
        </w:rPr>
        <w:t>®</w:t>
      </w:r>
      <w:r w:rsidRPr="00D2345D">
        <w:t xml:space="preserve"> B/E a gp120 protein, with either a DNA plasmid or vaccinia virus containing DNA (NYVAC) containing genes encoding Env, Pol, Gag and Nef HIV-1 proteins elicited V1V2-specific and additional gp120-specific IgG, yet there was substantial heterogeneity in the response magnitude and durability among vaccine recipients (Pantaleo et al., In Prep). A critical goal of ongoing HIV-1 vaccine research is to identify factors that influence vaccine response heterogeneity, a common trait of many, if not all vaccines.</w:t>
      </w:r>
    </w:p>
    <w:p w14:paraId="6D3F4DD3" w14:textId="77777777" w:rsidR="00D2345D" w:rsidRPr="00D2345D" w:rsidRDefault="00D2345D" w:rsidP="00211BCA">
      <w:pPr>
        <w:rPr>
          <w:sz w:val="24"/>
          <w:szCs w:val="24"/>
        </w:rPr>
      </w:pPr>
      <w:r w:rsidRPr="00D2345D">
        <w:t xml:space="preserve">We studied the immune responses of participants in the HVTN 096 study and the composition of their intestinal microbiota using 16S-targeted sequencing of rectal secretions. We hypothesized that the gut microbial composition is associated with pre-vaccination levels of gp41-reactive antibodies. We further hypothesized that the microbiome would associate as well with post-vaccination levels of HIV-1 envelope </w:t>
      </w:r>
      <w:r w:rsidRPr="00D2345D">
        <w:lastRenderedPageBreak/>
        <w:t>specific antibodies (including gp41 and gp120 subunits). To test this hypothesis, we applied “global” tests that examined whether participants with similar microbiota also had similar baseline or post-vaccine levels of Env-reactive IgG. We then further characterized globally significant associations by applying “local” taxon-specific tests to identify specific bacteria that may be driving the association. We found that baseline levels of gp41-reactive IgG and post-vaccination levels of gp120-reactive IgG were globally associated with the composition of the gut microbiota and that both effects involve changes in the relative abundance of different taxa. We found no associations of microbial composition with vaccine-induced T cell responses. The results support the hypothesis that the gut microbiota modulates human immune responses, including those to HIV-1 vaccination.</w:t>
      </w:r>
    </w:p>
    <w:p w14:paraId="30997FE1" w14:textId="77777777" w:rsidR="00D2345D" w:rsidRPr="00D2345D" w:rsidRDefault="00D2345D" w:rsidP="00F617A6">
      <w:pPr>
        <w:pStyle w:val="Heading1"/>
        <w:rPr>
          <w:rFonts w:ascii="Times New Roman" w:hAnsi="Times New Roman" w:cs="Times New Roman"/>
          <w:b/>
          <w:bCs/>
          <w:sz w:val="48"/>
          <w:szCs w:val="48"/>
        </w:rPr>
      </w:pPr>
      <w:r w:rsidRPr="00D2345D">
        <w:t>Methods</w:t>
      </w:r>
    </w:p>
    <w:p w14:paraId="0BCBA7B1" w14:textId="77777777" w:rsidR="00D2345D" w:rsidRPr="00211BCA" w:rsidRDefault="00D2345D" w:rsidP="00F617A6">
      <w:pPr>
        <w:pStyle w:val="Heading2"/>
      </w:pPr>
      <w:r w:rsidRPr="00211BCA">
        <w:t>Study Design</w:t>
      </w:r>
    </w:p>
    <w:p w14:paraId="1EECF9AF" w14:textId="277B629E" w:rsidR="00D2345D" w:rsidRPr="00D2345D" w:rsidRDefault="00D2345D" w:rsidP="00211BCA">
      <w:pPr>
        <w:rPr>
          <w:sz w:val="24"/>
          <w:szCs w:val="24"/>
        </w:rPr>
      </w:pPr>
      <w:r w:rsidRPr="00D2345D">
        <w:t>HVTN 096 was designed to test the safety and priming ability of either NYVAC-HIV-PT-1/NYVAC-HIV-PT-4 (hereafter NYVAC); or DNA-HIV-PT124, a trivalent bare DNA plasmid either alone or in combination with a bivalent recombinant Env gp120 protein boost (</w:t>
      </w:r>
      <w:r w:rsidR="008423A1" w:rsidRPr="00D2345D">
        <w:t>AIDSVAX</w:t>
      </w:r>
      <w:r w:rsidR="008423A1" w:rsidRPr="00D2345D">
        <w:rPr>
          <w:rFonts w:ascii="MS Gothic" w:eastAsia="MS Gothic" w:hAnsi="MS Gothic" w:cs="MS Gothic" w:hint="eastAsia"/>
          <w:sz w:val="13"/>
          <w:szCs w:val="13"/>
          <w:vertAlign w:val="superscript"/>
        </w:rPr>
        <w:t>Ⓡ</w:t>
      </w:r>
      <w:r w:rsidR="008423A1" w:rsidRPr="00D2345D">
        <w:t xml:space="preserve"> B</w:t>
      </w:r>
      <w:r w:rsidRPr="00D2345D">
        <w:t>/E). (Supplement, Cite Protocol Here). The study contained four experimental groups each with primes administered at months 0 and 1, and boosts administered at months 3 and 6. Pr</w:t>
      </w:r>
      <w:r w:rsidR="008423A1">
        <w:t xml:space="preserve">imes for each of the four </w:t>
      </w:r>
      <w:r w:rsidRPr="00D2345D">
        <w:t xml:space="preserve">experimental groups were (T1) NYVAC, (T2) NYVAC + AIDSVAX, (T3) DNA plasmid, (T4) DNA plasmid + AIDSVAX. In all </w:t>
      </w:r>
      <w:r w:rsidR="008423A1" w:rsidRPr="00D2345D">
        <w:t>treatments,</w:t>
      </w:r>
      <w:r w:rsidRPr="00D2345D">
        <w:t xml:space="preserve"> the boost was a combination of NYVAC and AIDSVAX. An additional subset of control participants were administered placebo (Sodium chloride 0.9% solution for NYVAC placebos and 600mgc alum/mL for AIDSVAX)</w:t>
      </w:r>
      <w:r w:rsidR="00980826">
        <w:t xml:space="preserve"> </w:t>
      </w:r>
      <w:r w:rsidR="00980826">
        <w:fldChar w:fldCharType="begin"/>
      </w:r>
      <w:r w:rsidR="00D34B5C">
        <w:instrText xml:space="preserve"> ADDIN ZOTERO_ITEM CSL_CITATION {"citationID":"eTeUDUut","properties":{"formattedCitation":"(Pantaleo et al., In Prep)","plainCitation":"(Pantaleo et al., In Prep)","noteIndex":0},"citationItems":[{"id":4682,"uris":["http://zotero.org/groups/1167044/items/QDFI6X7V"],"uri":["http://zotero.org/groups/1167044/items/QDFI6X7V"],"itemData":{"id":4682,"type":"article-journal","title":"Co-administration of HIV Env protein with DNA and/or NYVAC vaccines in humans results in earlier and potent generation of anti-Env antibody responses","abstract":"Karuna","author":[{"family":"Pantaleo","given":"Giuseppe"},{"family":"Janes","given":"Holly"},{"family":"Karuna","given":"Shelly"},{"family":"Grant","given":"Shannon"},{"family":"Ouedraogo","given":"Liassa"}],"issued":{"literal":"In Prep"}}}],"schema":"https://github.com/citation-style-language/schema/raw/master/csl-citation.json"} </w:instrText>
      </w:r>
      <w:r w:rsidR="00980826">
        <w:fldChar w:fldCharType="separate"/>
      </w:r>
      <w:r w:rsidR="00D34B5C" w:rsidRPr="00D34B5C">
        <w:t>(Pantaleo et al., In Prep)</w:t>
      </w:r>
      <w:r w:rsidR="00980826">
        <w:fldChar w:fldCharType="end"/>
      </w:r>
      <w:r w:rsidRPr="00D2345D">
        <w:t>.</w:t>
      </w:r>
    </w:p>
    <w:p w14:paraId="043373E3" w14:textId="77777777" w:rsidR="00D2345D" w:rsidRPr="00D2345D" w:rsidRDefault="00D2345D" w:rsidP="00211BCA">
      <w:pPr>
        <w:rPr>
          <w:sz w:val="24"/>
          <w:szCs w:val="24"/>
        </w:rPr>
      </w:pPr>
      <w:r w:rsidRPr="00D2345D">
        <w:t>We focused on immunological measurements using samples provided at three time points: Day 0 (baseline) Month 6.5, the protocol-specified Primary Immunological endpoint (two weeks after the final boost), and Month 12 (a durability time point). Analysis of the gut microbiota and immunological measures was limited to participants for whom both data were available (n = 21); the participants were divided among the experimental treatment groups (7 participants in T1, 3 in T2, 6 in T3, 5 in T4). Due to the limited number of samples, data was pooled across the vaccine groups.</w:t>
      </w:r>
    </w:p>
    <w:p w14:paraId="44F17F9D" w14:textId="77777777" w:rsidR="00D2345D" w:rsidRPr="00D2345D" w:rsidRDefault="00D2345D" w:rsidP="00F617A6">
      <w:pPr>
        <w:pStyle w:val="Heading2"/>
        <w:rPr>
          <w:rFonts w:ascii="Times New Roman" w:hAnsi="Times New Roman" w:cs="Times New Roman"/>
          <w:b/>
          <w:bCs/>
          <w:sz w:val="36"/>
          <w:szCs w:val="36"/>
        </w:rPr>
      </w:pPr>
      <w:r w:rsidRPr="00D2345D">
        <w:t>Data collection</w:t>
      </w:r>
    </w:p>
    <w:p w14:paraId="7FB9940E" w14:textId="3BDBD15D" w:rsidR="00D2345D" w:rsidRPr="00D2345D" w:rsidRDefault="00D2345D" w:rsidP="00211BCA">
      <w:pPr>
        <w:rPr>
          <w:b/>
          <w:bCs/>
          <w:sz w:val="36"/>
          <w:szCs w:val="36"/>
        </w:rPr>
      </w:pPr>
      <w:r w:rsidRPr="00D2345D">
        <w:lastRenderedPageBreak/>
        <w:t>Immune data were generated as described by Pantaleo et al. (In Prep). Briefly, antibody binding was measured with the binding antibody multiplex assay</w:t>
      </w:r>
      <w:r w:rsidR="009D75FA">
        <w:t xml:space="preserve"> </w:t>
      </w:r>
      <w:r w:rsidR="009D75FA">
        <w:fldChar w:fldCharType="begin"/>
      </w:r>
      <w:r w:rsidR="00D34B5C">
        <w:instrText xml:space="preserve"> ADDIN ZOTERO_ITEM CSL_CITATION {"citationID":"eHg7y36e","properties":{"formattedCitation":"(BAMA; Tomaras et al., 2008)","plainCitation":"(BAMA; Tomaras et al., 2008)","noteIndex":0},"citationItems":[{"id":4941,"uris":["http://zotero.org/groups/1167044/items/P6DM5G92"],"uri":["http://zotero.org/groups/1167044/items/P6DM5G92"],"itemData":{"id":4941,"type":"article-journal","title":"Initial B-Cell Responses to Transmitted Human Immunodeficiency Virus Type 1: Virion-Binding Immunoglobulin M (IgM) and IgG Antibodies Followed by Plasma Anti-gp41 Antibodies with Ineffective Control of Initial Viremia","container-title":"Journal of Virology","page":"12449-12463","volume":"82","issue":"24","source":"Crossref","DOI":"10.1128/JVI.01708-08","ISSN":"0022-538X","shortTitle":"Initial B-Cell Responses to Transmitted Human Immunodeficiency Virus Type 1","language":"en","author":[{"family":"Tomaras","given":"G. D."},{"family":"Yates","given":"N. L."},{"family":"Liu","given":"P."},{"family":"Qin","given":"L."},{"family":"Fouda","given":"G. G."},{"family":"Chavez","given":"L. L."},{"family":"Decamp","given":"A. C."},{"family":"Parks","given":"R. J."},{"family":"Ashley","given":"V. C."},{"family":"Lucas","given":"J. T."},{"family":"Cohen","given":"M."},{"family":"Eron","given":"J."},{"family":"Hicks","given":"C. B."},{"family":"Liao","given":"H.-X."},{"family":"Self","given":"S. G."},{"family":"Landucci","given":"G."},{"family":"Forthal","given":"D. N."},{"family":"Weinhold","given":"K. J."},{"family":"Keele","given":"B. F."},{"family":"Hahn","given":"B. H."},{"family":"Greenberg","given":"M. L."},{"family":"Morris","given":"L."},{"family":"Karim","given":"S. S. A."},{"family":"Blattner","given":"W. A."},{"family":"Montefiori","given":"D. C."},{"family":"Shaw","given":"G. M."},{"family":"Perelson","given":"A. S."},{"family":"Haynes","given":"B. F."}],"issued":{"date-parts":[["2008",12,15]]}},"prefix":"BAMA;"}],"schema":"https://github.com/citation-style-language/schema/raw/master/csl-citation.json"} </w:instrText>
      </w:r>
      <w:r w:rsidR="009D75FA">
        <w:fldChar w:fldCharType="separate"/>
      </w:r>
      <w:r w:rsidR="00D34B5C" w:rsidRPr="00D34B5C">
        <w:t>(BAMA; Tomaras et al., 2008)</w:t>
      </w:r>
      <w:r w:rsidR="009D75FA">
        <w:fldChar w:fldCharType="end"/>
      </w:r>
      <w:r w:rsidRPr="00D2345D">
        <w:t>. Intracellular cytokine staining was performed on cryopreserved peripheral blood mononuclear cells to measure CD4+ T cell responses to vaccine-matched peptide pools for each HIV-1 protein; the proportion of cells expressing interferon gamma (IFNγ) and/or interleukin 2 (IL-2) was used as the magnitude of the response; analysis was limited to Env-specific responses summed across X Env-containing peptide pools. Analysis was focused on IgG and IgA levels for a subset of BAMA antigens: gp41, gag p24, CON6 gp120 B, ZM96 gp140 protein (encoded by the DNA and NYVAC immunogens), and gp70 B CaseA V1-V2 protein. Antigen-specific IgA was measured, again with BAMA for the gp41 and p24 proteins. Respon</w:t>
      </w:r>
      <w:r w:rsidR="008423A1">
        <w:t>se magnitudes were examined for</w:t>
      </w:r>
      <w:r w:rsidRPr="00D2345D">
        <w:t xml:space="preserve"> IgGs, IgAs and HIV envelope specific CD4+ T cells. A Box-Cox transformation was used to normalize the data and decrease sensitivity to outliers. Analysis was also performed on binarized data, using the median to split participants into high and low categories. </w:t>
      </w:r>
    </w:p>
    <w:p w14:paraId="0D71DE1E" w14:textId="4DDE37D6" w:rsidR="00D2345D" w:rsidRPr="008423A1" w:rsidRDefault="00D2345D" w:rsidP="00211BCA">
      <w:pPr>
        <w:rPr>
          <w:sz w:val="24"/>
          <w:szCs w:val="24"/>
        </w:rPr>
      </w:pPr>
      <w:r w:rsidRPr="00D2345D">
        <w:t>Microbiome samples were collected and DNA extracted from rectal wecks taken at baseline</w:t>
      </w:r>
      <w:r w:rsidRPr="00D2345D">
        <w:rPr>
          <w:color w:val="980000"/>
        </w:rPr>
        <w:t xml:space="preserve"> </w:t>
      </w:r>
      <w:r w:rsidRPr="008423A1">
        <w:rPr>
          <w:color w:val="auto"/>
        </w:rPr>
        <w:t xml:space="preserve">(Supplement). </w:t>
      </w:r>
      <w:r w:rsidRPr="00D2345D">
        <w:t>Samples from the earliest available sample (day 0 for 3 participants, month 6.5 for 11 participants and month 12 for 7 participants) were amplified with barcoded 16S primers</w:t>
      </w:r>
      <w:r w:rsidR="009D75FA">
        <w:t xml:space="preserve"> </w:t>
      </w:r>
      <w:r w:rsidRPr="00D2345D">
        <w:t>that targeted the hypervariable sequence containing V3-V4 region and sequenced on a Roche 454 as described by Srinivasan et al.</w:t>
      </w:r>
      <w:r w:rsidR="009D75FA">
        <w:t xml:space="preserve"> </w:t>
      </w:r>
      <w:r w:rsidR="009D75FA">
        <w:fldChar w:fldCharType="begin"/>
      </w:r>
      <w:r w:rsidR="00D34B5C">
        <w:instrText xml:space="preserve"> ADDIN ZOTERO_ITEM CSL_CITATION {"citationID":"nHGShh7S","properties":{"formattedCitation":"(2012)","plainCitation":"(2012)","noteIndex":0},"citationItems":[{"id":4162,"uris":["http://zotero.org/groups/1167044/items/CNFD2CVV"],"uri":["http://zotero.org/groups/1167044/items/CNFD2CVV"],"itemData":{"id":4162,"type":"article-journal","title":"Bacterial Communities in Women with Bacterial Vaginosis: High Resolution Phylogenetic Analyses Reveal Relationships of Microbiota to Clinical Criteria","container-title":"PLOS ONE","page":"e37818","volume":"7","issue":"6","source":"PLoS Journals","abstract":"Background Bacterial vaginosis (BV) is a common condition that is associated with numerous adverse health outcomes and is characterized by poorly understood changes in the vaginal microbiota. We sought to describe the composition and diversity of the vaginal bacterial biota in women with BV using deep sequencing of the 16S rRNA gene coupled with species-level taxonomic identification. We investigated the associations between the presence of individual bacterial species and clinical diagnostic characteristics of BV.   Methodology/Principal Findings Broad-range 16S rRNA gene PCR and pyrosequencing were performed on vaginal swabs from 220 women with and without BV. BV was assessed by Amsel’s clinical criteria and confirmed by Gram stain. Taxonomic classification was performed using phylogenetic placement tools that assigned 99% of query sequence reads to the species level. Women with BV had heterogeneous vaginal bacterial communities that were usually not dominated by a single taxon. In the absence of BV, vaginal bacterial communities were dominated by either Lactobacillus crispatus or Lactobacillus iners. Leptotrichia amnionii and Eggerthella sp. were the only two BV-associated bacteria (BVABs) significantly associated with each of the four Amsel’s criteria. Co-occurrence analysis revealed the presence of several sub-groups of BVABs suggesting metabolic co-dependencies. Greater abundance of several BVABs was observed in Black women without BV.   Conclusions/Significance The human vaginal bacterial biota is heterogeneous and marked by greater species richness and diversity in women with BV; no species is universally present. Different bacterial species have different associations with the four clinical criteria, which may account for discrepancies often observed between Amsel and Nugent (Gram stain) diagnostic criteria. Several BVABs exhibited race-dependent prevalence when analyzed in separate groups by BV status which may contribute to increased incidence of BV in Black women. Tools developed in this project can be used to study microbial ecology in diverse settings at high resolution.","DOI":"10.1371/journal.pone.0037818","ISSN":"1932-6203","shortTitle":"Bacterial Communities in Women with Bacterial Vaginosis","journalAbbreviation":"PLOS ONE","author":[{"family":"Srinivasan","given":"Sujatha"},{"family":"Hoffman","given":"Noah G."},{"family":"Morgan","given":"Martin T."},{"family":"Matsen","given":"Frederick A."},{"family":"Fiedler","given":"Tina L."},{"family":"Hall","given":"Robert W."},{"family":"Ross","given":"Frederick J."},{"family":"McCoy","given":"Connor O."},{"family":"Bumgarner","given":"Roger"},{"family":"Marrazzo","given":"Jeanne M."},{"family":"Fredricks","given":"David N."}],"issued":{"date-parts":[["2012",6,18]]}},"suppress-author":true}],"schema":"https://github.com/citation-style-language/schema/raw/master/csl-citation.json"} </w:instrText>
      </w:r>
      <w:r w:rsidR="009D75FA">
        <w:fldChar w:fldCharType="separate"/>
      </w:r>
      <w:r w:rsidR="00D34B5C" w:rsidRPr="00D34B5C">
        <w:t>(2012)</w:t>
      </w:r>
      <w:r w:rsidR="009D75FA">
        <w:fldChar w:fldCharType="end"/>
      </w:r>
      <w:r w:rsidRPr="00D2345D">
        <w:t>. Microbial sequence data were demultiplexed, binned into sequence variants, given putative taxonomic identities, phylogenetic relationships between the sequences were ascertained and taxonomic clustering was ca</w:t>
      </w:r>
      <w:r w:rsidR="008423A1">
        <w:t xml:space="preserve">rried out on those identities </w:t>
      </w:r>
      <w:r w:rsidRPr="00D2345D">
        <w:t xml:space="preserve">(Supplement). </w:t>
      </w:r>
    </w:p>
    <w:p w14:paraId="6462D048" w14:textId="77777777" w:rsidR="00D2345D" w:rsidRPr="00D2345D" w:rsidRDefault="00D2345D" w:rsidP="00F617A6">
      <w:pPr>
        <w:pStyle w:val="Heading2"/>
        <w:rPr>
          <w:rFonts w:ascii="Times New Roman" w:hAnsi="Times New Roman" w:cs="Times New Roman"/>
          <w:b/>
          <w:bCs/>
          <w:sz w:val="36"/>
          <w:szCs w:val="36"/>
        </w:rPr>
      </w:pPr>
      <w:r w:rsidRPr="00D2345D">
        <w:t>Analysis of microbial community structure and its relationship to vaccine-induced antibody production</w:t>
      </w:r>
    </w:p>
    <w:p w14:paraId="3DDD3A84" w14:textId="77777777" w:rsidR="00D2345D" w:rsidRPr="00D2345D" w:rsidRDefault="00D2345D" w:rsidP="00211BCA">
      <w:pPr>
        <w:rPr>
          <w:sz w:val="24"/>
          <w:szCs w:val="24"/>
        </w:rPr>
      </w:pPr>
      <w:r w:rsidRPr="00D2345D">
        <w:t>A two-tiered approach was used to investigate the relationship between microbial community structure and immune responses. We employed “global” tests that identified whether overa</w:t>
      </w:r>
      <w:r w:rsidR="008423A1">
        <w:t xml:space="preserve">ll community structure related </w:t>
      </w:r>
      <w:r w:rsidRPr="00D2345D">
        <w:t xml:space="preserve">to each immunological measurement and “local” tests, conditional on a significant global effect, to identify individual bacterial taxa underlying the effect. </w:t>
      </w:r>
    </w:p>
    <w:p w14:paraId="6B1AA40E" w14:textId="541BDC7F" w:rsidR="00D2345D" w:rsidRPr="00D2345D" w:rsidRDefault="00D2345D" w:rsidP="00211BCA">
      <w:pPr>
        <w:rPr>
          <w:sz w:val="24"/>
          <w:szCs w:val="24"/>
        </w:rPr>
      </w:pPr>
      <w:r w:rsidRPr="00D2345D">
        <w:t>To describe microbial community variability, weighted UniFrac distance was calculated between all pairs of participants. Principal coordinates analysis was conducted on these weighted UniFrac distances and site scores for each axis thereof were extracted. We refer to the first ten of these weighted UniFrac principal coordinate axes as MDS1-10 and use MDS1 in much of our subsequent analysis. Global patterns were identified with kernel regression</w:t>
      </w:r>
      <w:r w:rsidR="009D75FA">
        <w:t xml:space="preserve"> </w:t>
      </w:r>
      <w:r w:rsidR="009D75FA">
        <w:fldChar w:fldCharType="begin"/>
      </w:r>
      <w:r w:rsidR="00D34B5C">
        <w:instrText xml:space="preserve"> ADDIN ZOTERO_ITEM CSL_CITATION {"citationID":"rQkWuv8U","properties":{"formattedCitation":"(Zhao et al., 2015)","plainCitation":"(Zhao et al., 2015)","noteIndex":0},"citationItems":[{"id":4303,"uris":["http://zotero.org/groups/1167044/items/BSITLLIW"],"uri":["http://zotero.org/groups/1167044/items/BSITLLIW"],"itemData":{"id":4303,"type":"article-journal","title":"Testing in Microbiome-Profiling Studies with MiRKAT, the Microbiome Regression-Based Kernel Association Test","container-title":"American Journal of Human Genetics","page":"797-807","volume":"96","issue":"5","source":"PubMed Central","abstract":"High-throughput sequencing technology has enabled population-based studies of the role of the human microbiome in disease etiology and exposure response. Distance-based analysis is a popular strategy for evaluating the overall association between microbiome diversity and outcome, wherein the phylogenetic distance between individuals’ microbiome profiles is computed and tested for association via permutation. Despite their practical popularity, distance-based approaches suffer from important challenges, especially in selecting the best distance and extending the methods to alternative outcomes, such as survival outcomes. We propose the microbiome regression-based kernel association test (MiRKAT), which directly regresses the outcome on the microbiome profiles via the semi-parametric kernel machine regression framework. MiRKAT allows for easy covariate adjustment and extension to alternative outcomes while non-parametrically modeling the microbiome through a kernel that incorporates phylogenetic distance. It uses a variance-component score statistic to test for the association with analytical p value calculation. The model also allows simultaneous examination of multiple distances, alleviating the problem of choosing the best distance. Our simulations demonstrated that MiRKAT provides correctly controlled type I error and adequate power in detecting overall association. “Optimal” MiRKAT, which considers multiple candidate distances, is robust in that it suffers from little power loss in comparison to when the best distance is used and can achieve tremendous power gain in comparison to when a poor distance is chosen. Finally, we applied MiRKAT to real microbiome datasets to show that microbial communities are associated with smoking and with fecal protease levels after confounders are controlled for.","DOI":"10.1016/j.ajhg.2015.04.003","ISSN":"0002-9297","note":"PMID: 25957468\nPMCID: PMC4570290","journalAbbreviation":"Am J Hum Genet","author":[{"family":"Zhao","given":"Ni"},{"family":"Chen","given":"Jun"},{"family":"Carroll","given":"Ian M."},{"family":"Ringel-Kulka","given":"Tamar"},{"family":"Epstein","given":"Michael P."},{"family":"Zhou","given":"Hua"},{"family":"Zhou","given":"Jin J."},{"family":"Ringel","given":"Yehuda"},{"family":"Li","given":"Hongzhe"},{"family":"Wu","given":"Michael C."}],"issued":{"date-parts":[["2015",5,7]]}}}],"schema":"https://github.com/citation-style-language/schema/raw/master/csl-citation.json"} </w:instrText>
      </w:r>
      <w:r w:rsidR="009D75FA">
        <w:fldChar w:fldCharType="separate"/>
      </w:r>
      <w:r w:rsidR="00D34B5C" w:rsidRPr="00D34B5C">
        <w:t>(Zhao et al., 2015)</w:t>
      </w:r>
      <w:r w:rsidR="009D75FA">
        <w:fldChar w:fldCharType="end"/>
      </w:r>
      <w:r w:rsidRPr="00D2345D">
        <w:t xml:space="preserve"> which detected community-level associations between the microbiota and immune</w:t>
      </w:r>
      <w:r w:rsidR="00A042CA">
        <w:t xml:space="preserve"> measurements</w:t>
      </w:r>
      <w:r w:rsidRPr="00D2345D">
        <w:t xml:space="preserve"> (Supplement). For those immunological </w:t>
      </w:r>
      <w:r w:rsidRPr="00D2345D">
        <w:lastRenderedPageBreak/>
        <w:t>variables that associated with microbial community structure, local tests were applied to identify which taxa were related to each component (Supplement). Analysis of proportionality was applied to identify co-occurring microbial family level taxonomic groups, as well as to identify which of these family level groups associated with each immunologic variable found to relate to community structure in the global tests (Supplement).</w:t>
      </w:r>
    </w:p>
    <w:p w14:paraId="78149F93" w14:textId="77777777" w:rsidR="00D2345D" w:rsidRPr="00D2345D" w:rsidRDefault="00D2345D" w:rsidP="00211BCA"/>
    <w:p w14:paraId="4A3AB939" w14:textId="77777777" w:rsidR="00D2345D" w:rsidRPr="00F617A6" w:rsidRDefault="00D2345D" w:rsidP="00F617A6">
      <w:pPr>
        <w:pStyle w:val="Heading1"/>
      </w:pPr>
      <w:r w:rsidRPr="00F617A6">
        <w:t>Results</w:t>
      </w:r>
    </w:p>
    <w:p w14:paraId="49E08C0F" w14:textId="77777777" w:rsidR="00D2345D" w:rsidRPr="00D2345D" w:rsidRDefault="00D2345D" w:rsidP="00F617A6">
      <w:pPr>
        <w:pStyle w:val="Heading2"/>
        <w:rPr>
          <w:rFonts w:ascii="Times New Roman" w:hAnsi="Times New Roman" w:cs="Times New Roman"/>
          <w:b/>
          <w:bCs/>
          <w:sz w:val="36"/>
          <w:szCs w:val="36"/>
        </w:rPr>
      </w:pPr>
      <w:r w:rsidRPr="00D2345D">
        <w:t>Heterogeneous immune responses before and after vaccination</w:t>
      </w:r>
    </w:p>
    <w:p w14:paraId="4669F8CF" w14:textId="24912D60" w:rsidR="002E0BB8" w:rsidRDefault="002E0BB8" w:rsidP="002E0BB8">
      <w:r>
        <w:t>As was seen by Pantaleo et al. (In prep), Con 6 Gp120, zm96_v1v2 and gp140 binding IgG antibodies were undetectable among all participants at day 0. Relative to baseline, responses to each antigen were increased at month 6.5, two weeks after the final vaccination. Responses decreased to an intermediate level 6 months after that</w:t>
      </w:r>
      <w:r w:rsidR="00D64614">
        <w:t xml:space="preserve"> (month 12)</w:t>
      </w:r>
      <w:r>
        <w:t xml:space="preserve">. There was substantial variability between participants both in the magnitude of the </w:t>
      </w:r>
      <w:r w:rsidR="00D64614">
        <w:t xml:space="preserve">6.5-month </w:t>
      </w:r>
      <w:r>
        <w:t xml:space="preserve">and final time point response. In contrast, gp41 and p24 binding IgG antibodies were variable and detectable at day 0. Binding was increased at the </w:t>
      </w:r>
      <w:r w:rsidR="00D64614">
        <w:t>6.5-month</w:t>
      </w:r>
      <w:r>
        <w:t xml:space="preserve"> time</w:t>
      </w:r>
      <w:r w:rsidR="00D64614">
        <w:t xml:space="preserve"> point, and decreased by the 12-</w:t>
      </w:r>
      <w:r>
        <w:t>month time point (Figure 1, Figure S1A). IgA gp41 and p24 antibodies varied substantially between participants at baseline and increased less and more variably in response to vaccination than did the IgG versions of those same antibodies (Figure S1B). CD4+ T cells specific to HIV Env protein, like IgGs</w:t>
      </w:r>
      <w:r w:rsidR="008C575E">
        <w:t>,</w:t>
      </w:r>
      <w:r>
        <w:t xml:space="preserve"> showed increa</w:t>
      </w:r>
      <w:r w:rsidR="00D64614">
        <w:t>se between the baseline and 6.5-</w:t>
      </w:r>
      <w:r>
        <w:t>month time-point, and some attenuation</w:t>
      </w:r>
      <w:r w:rsidR="00D64614">
        <w:t xml:space="preserve"> in many participants by the 12-</w:t>
      </w:r>
      <w:r>
        <w:t>month time-point (Figure S1B).</w:t>
      </w:r>
    </w:p>
    <w:p w14:paraId="6A7B0379" w14:textId="77777777" w:rsidR="00D2345D" w:rsidRPr="00D2345D" w:rsidRDefault="00D2345D" w:rsidP="00F617A6">
      <w:pPr>
        <w:pStyle w:val="Heading2"/>
        <w:rPr>
          <w:rFonts w:ascii="Times New Roman" w:hAnsi="Times New Roman" w:cs="Times New Roman"/>
          <w:b/>
          <w:bCs/>
          <w:sz w:val="36"/>
          <w:szCs w:val="36"/>
        </w:rPr>
      </w:pPr>
      <w:r w:rsidRPr="00D2345D">
        <w:t>Heterogeneity in gut microbiota community structure</w:t>
      </w:r>
    </w:p>
    <w:p w14:paraId="0C4136D7" w14:textId="34225709" w:rsidR="00D2345D" w:rsidRPr="00D2345D" w:rsidRDefault="00D2345D" w:rsidP="00211BCA">
      <w:pPr>
        <w:rPr>
          <w:sz w:val="24"/>
          <w:szCs w:val="24"/>
        </w:rPr>
      </w:pPr>
      <w:r w:rsidRPr="00D2345D">
        <w:t>Microbiome sequencing of participant baseline rectal wecks (day 0) generated 2100 to 10843 16S rRNA V3-V4 reads per sample. Quality filtering, denoising and chimera removal decreased the number of reads only slightly, to a final range of 2070-9688 sequences per sample, suggesting that the reads were generally of high quality.</w:t>
      </w:r>
      <w:r w:rsidR="00F2126E">
        <w:t xml:space="preserve"> DADA2 called 960 unique SVs.</w:t>
      </w:r>
      <w:r w:rsidRPr="00D2345D">
        <w:t xml:space="preserve"> After </w:t>
      </w:r>
      <w:r w:rsidR="00F2126E" w:rsidRPr="00D2345D">
        <w:t>processing,</w:t>
      </w:r>
      <w:r w:rsidRPr="00D2345D">
        <w:t xml:space="preserve"> there were 536 unique </w:t>
      </w:r>
      <w:r w:rsidR="00A042CA">
        <w:t>SVs</w:t>
      </w:r>
      <w:r w:rsidRPr="00D2345D">
        <w:t xml:space="preserve">. Agglomeration yielded 5 Phyla, 12 Classes, 17 Orders, 36 Families and 92 Genus level taxonomic groups. Principal coordinates analysis of weighted UniFrac distance indicated that 29.1% and 16.9% of the community structure variability was captured by the first and second (MDS1 and MDS2) principal </w:t>
      </w:r>
      <w:r w:rsidRPr="00D2345D">
        <w:lastRenderedPageBreak/>
        <w:t>coordinate axes (Figure 2). We used samples’ locations along MDS1 to help simplify and aid visualization of community structure.</w:t>
      </w:r>
    </w:p>
    <w:p w14:paraId="3CE18F93" w14:textId="29F7AB04" w:rsidR="00D2345D" w:rsidRPr="00D2345D" w:rsidRDefault="00D2345D" w:rsidP="00211BCA">
      <w:pPr>
        <w:rPr>
          <w:sz w:val="24"/>
          <w:szCs w:val="24"/>
        </w:rPr>
      </w:pPr>
      <w:r w:rsidRPr="00D2345D">
        <w:t xml:space="preserve">The participants in our dataset had microbiota broadly typical of the human gut, with most participants’ microbiota dominated by members of the Bacteroidetes and Firmicutes phyla, and some members having strong representation from the Actinobacteria and Fusobacteria phyla and the Proteobacteria Superphylum (Figure 3A). The Firmicutes </w:t>
      </w:r>
      <w:r w:rsidR="00A042CA">
        <w:t>p</w:t>
      </w:r>
      <w:r w:rsidRPr="00D2345D">
        <w:t xml:space="preserve">hylum was generally dominated by </w:t>
      </w:r>
      <w:r w:rsidR="00A042CA">
        <w:t>c</w:t>
      </w:r>
      <w:r w:rsidRPr="00D2345D">
        <w:t>lass Clostridia, which was in turn comprised entirely of the order Clostridiales. By arranging participants by their weighted UniFrac PCoA MDS1 score (hereafter MDS1 score), we observed that the participants with low MDS1 scores had Clostridiales communities dominated by the Ruminococcaceae and Peptoniphilaceae Families, while participants with high MDS1 scores had higher levels of Clostridiales Incertae Sedis XI (Figure 3B). These Clostridiales Incertae Sedis XI were primarily composed of six genera. The relative contributions of these genera to Clostridiales Incertae Sedis XI did not themselves appear qualitatively associated with MDS1 score (Figure 3C). Of the Bacteroidetes seen in this dataset, most were from Class Bacteroidia and all of those Bacteroidia were from order Bacteroidales. The remainder of Bacteroidetes were from a small subset of otherwise unidentified organisms. When sorted by weighted UniFrac axis one, it was evident that participants with low MDS1 scores generally had higher levels of the Family Bacteroidaceae, while participants with higher MDS1 scores tended to have higher concentrations of the family Prevotellaceae (Figure 3D). Analysis of proportionality indicated that, at the family level, there were groups of organisms that were all proportional with each other (Figure 4), indicating co-occurrence structure in our dataset.</w:t>
      </w:r>
    </w:p>
    <w:p w14:paraId="344DE075" w14:textId="77777777" w:rsidR="00D2345D" w:rsidRPr="00D2345D" w:rsidRDefault="00D2345D" w:rsidP="00F617A6">
      <w:pPr>
        <w:pStyle w:val="Heading2"/>
        <w:rPr>
          <w:rFonts w:ascii="Times New Roman" w:hAnsi="Times New Roman" w:cs="Times New Roman"/>
          <w:b/>
          <w:bCs/>
          <w:sz w:val="36"/>
          <w:szCs w:val="36"/>
        </w:rPr>
      </w:pPr>
      <w:r w:rsidRPr="00D2345D">
        <w:t>Microbe community structure associated with Env-reactive IgG</w:t>
      </w:r>
    </w:p>
    <w:p w14:paraId="2AA8AB1E" w14:textId="5C376439" w:rsidR="002E0BB8" w:rsidRPr="002E0BB8" w:rsidRDefault="002E0BB8" w:rsidP="002E0BB8">
      <w:pPr>
        <w:rPr>
          <w:color w:val="auto"/>
          <w:sz w:val="24"/>
          <w:szCs w:val="24"/>
        </w:rPr>
      </w:pPr>
      <w:r w:rsidRPr="002E0BB8">
        <w:t xml:space="preserve">We used kernel regression to identify associations between microbial community structure and each immune response measurement. In the analysis, we used weighted UniFrac to measure the pairwise distances between every participant’s microbiota composition. Kernel regression tests for an association between those pairwise distances and pairwise differences in the immune response. Of all the immune responses measured at baseline, there was only detectable variability in gp41- and p24-reactive IgG and IgA binding.  Of these we found that only baseline levels of gp41-reactive IgG were significantly associated with the microbial community structure (P = 0.047; Q = 0.160, Table 1, Figure 2). As a descriptive follow-up </w:t>
      </w:r>
      <w:r w:rsidR="00524558" w:rsidRPr="002E0BB8">
        <w:t>analysis,</w:t>
      </w:r>
      <w:r w:rsidRPr="002E0BB8">
        <w:t xml:space="preserve"> we also evaluated the association between gp41 binding at baseline and MDS1, the first principal coordinate axis of community structure variability. The benefit of using MDS1 in this way is that it can provide an estimate of magnitude and direction of the association. We found that </w:t>
      </w:r>
      <w:r w:rsidRPr="002E0BB8">
        <w:lastRenderedPageBreak/>
        <w:t xml:space="preserve">participants with a high MDS1 score tended to have higher gp41 binding (P = 0.015, Q = 0.007; Table 1, Figure 2). Post-vaccine levels of gp41-reactive IgG at M6.5 were also associated with community structure (P = 0.048, Q =0.160). However, compared to baseline gp41, the association of M6.5 gp41 binding with MDS1 was in the opposite direction, with participants having high MDS1 scores tending to have lower gp41 binding (P = 0.032, Q = 0.013). At the post-vaccination time </w:t>
      </w:r>
      <w:r w:rsidR="00524558" w:rsidRPr="002E0BB8">
        <w:t>points,</w:t>
      </w:r>
      <w:r w:rsidRPr="002E0BB8">
        <w:t xml:space="preserve"> we also assessed the associations of several additional HIV-1 Env antigens. We found that </w:t>
      </w:r>
      <w:r w:rsidR="00793099">
        <w:t xml:space="preserve">month </w:t>
      </w:r>
      <w:r w:rsidRPr="002E0BB8">
        <w:t>6.5 levels of Con6.gp120 and ZM96.gp140 were significantly associated wi</w:t>
      </w:r>
      <w:r w:rsidR="00793099">
        <w:t>th community structure (gp120: P</w:t>
      </w:r>
      <w:r w:rsidRPr="002E0BB8">
        <w:t xml:space="preserve"> =0.004, </w:t>
      </w:r>
      <w:r w:rsidR="00793099">
        <w:t>Q</w:t>
      </w:r>
      <w:r w:rsidRPr="002E0BB8">
        <w:t xml:space="preserve"> =0.073; gp140: </w:t>
      </w:r>
      <w:r w:rsidR="00793099">
        <w:t>P</w:t>
      </w:r>
      <w:r w:rsidRPr="002E0BB8">
        <w:t xml:space="preserve"> = 0.014, </w:t>
      </w:r>
      <w:r w:rsidR="00793099">
        <w:t>Q</w:t>
      </w:r>
      <w:r w:rsidRPr="002E0BB8">
        <w:t xml:space="preserve"> = 0.009). Binding to Con6.gp120 and gp70_B.CaseA_V1_V2 antigens was also associated with community structure at the M12.5 durability time</w:t>
      </w:r>
      <w:r w:rsidR="00793099">
        <w:t>-</w:t>
      </w:r>
      <w:r w:rsidRPr="002E0BB8">
        <w:t>point. For each association of a post-vaccination Env-reactive IgG we found that participants with higher MDS1 scores tended to have lower Env-specific IgG while those with lower MDS1 scores had higher Env-specific IgG. Neither the CD4+ envelope specific T cell pool, nor any of the IgA measurements were related to community structure using the aforementioned methods.</w:t>
      </w:r>
    </w:p>
    <w:p w14:paraId="23B963BC" w14:textId="77777777" w:rsidR="002E0BB8" w:rsidRPr="002E0BB8" w:rsidRDefault="002E0BB8" w:rsidP="002E0BB8">
      <w:pPr>
        <w:rPr>
          <w:color w:val="auto"/>
          <w:sz w:val="24"/>
          <w:szCs w:val="24"/>
        </w:rPr>
      </w:pPr>
      <w:r w:rsidRPr="002E0BB8">
        <w:t>Treating immune data as a continuous, box-cox transformed, rather than median split variable showed similar though generally less statistically significant patterns. One notable exception was IgG antibodies to Con.6.gp120B which showed a much stronger association (p&lt;0.001 q &lt; 0.01) when treated as a continuous, rather than binary variable (Table S1).</w:t>
      </w:r>
    </w:p>
    <w:p w14:paraId="1A33E1DD" w14:textId="77777777" w:rsidR="00D2345D" w:rsidRPr="00F617A6" w:rsidRDefault="00D2345D" w:rsidP="00F617A6">
      <w:pPr>
        <w:pStyle w:val="Heading2"/>
      </w:pPr>
      <w:r w:rsidRPr="00F617A6">
        <w:t>Jensen-Shannon distances were not associated with immune responses without taxonomic agglomeration</w:t>
      </w:r>
    </w:p>
    <w:p w14:paraId="536CA876" w14:textId="77777777" w:rsidR="00D2345D" w:rsidRPr="00D2345D" w:rsidRDefault="00D2345D" w:rsidP="00211BCA">
      <w:pPr>
        <w:rPr>
          <w:sz w:val="24"/>
          <w:szCs w:val="24"/>
        </w:rPr>
      </w:pPr>
      <w:r w:rsidRPr="00D2345D">
        <w:t xml:space="preserve">As a secondary </w:t>
      </w:r>
      <w:r w:rsidR="00524558" w:rsidRPr="00D2345D">
        <w:t>analysis,</w:t>
      </w:r>
      <w:r w:rsidRPr="00D2345D">
        <w:t xml:space="preserve"> we considered using a Jensen-Shannon (JS) distance instead of weighted UniFrac: a major difference is that a Jensen-Shannon distance considers each sequence variant (SV) independently, ignoring phylogenetic relationships. Applying the JS distance to species-level SVs we found no associations with immune responses (Figure S2). We then agglomerated SVs at different taxonomic levels (Supplement) and performed kernel regression analysis on the Jensen-Shannon distance of these agglomerated groups. Significant associations between the Phylum - Genus level taxa and many of immune variables were evident. Omnibus p-values provided an aggregate of the p-values of many associations and generally provided p-values that were similar to, but slightly higher tha</w:t>
      </w:r>
      <w:r w:rsidR="00524558">
        <w:t>n, the results of the weighted UniF</w:t>
      </w:r>
      <w:r w:rsidRPr="00D2345D">
        <w:t xml:space="preserve">rac based kernel regression. This analysis showed that, in the absence of UniFrac’s ability to incorporate phylogenetic information, agglomeration was necessary to see patterns. That is, we detected no relationship between species level SVs and immunologic parameters when we did not consider their phylogenetic relationships. In contrast, when we did consider phylogeny though the </w:t>
      </w:r>
      <w:r w:rsidRPr="00D2345D">
        <w:lastRenderedPageBreak/>
        <w:t>previously described weighted UniFrac methods or by binning SVs, relationships between community structure and vaccine response became evident.</w:t>
      </w:r>
    </w:p>
    <w:p w14:paraId="0A879428" w14:textId="77777777" w:rsidR="00D2345D" w:rsidRPr="00D2345D" w:rsidRDefault="00D2345D" w:rsidP="00F617A6">
      <w:pPr>
        <w:pStyle w:val="Heading2"/>
        <w:rPr>
          <w:rFonts w:ascii="Times New Roman" w:hAnsi="Times New Roman" w:cs="Times New Roman"/>
          <w:b/>
          <w:bCs/>
          <w:sz w:val="36"/>
          <w:szCs w:val="36"/>
        </w:rPr>
      </w:pPr>
      <w:bookmarkStart w:id="1" w:name="_Ref513729992"/>
      <w:r w:rsidRPr="00D2345D">
        <w:t>Individual taxonomic groups were associated with gp41 and gp120-reactive IgG binding</w:t>
      </w:r>
      <w:bookmarkEnd w:id="1"/>
    </w:p>
    <w:p w14:paraId="0E4B7B7B" w14:textId="235B95FA" w:rsidR="00D2345D" w:rsidRDefault="00D2345D" w:rsidP="00211BCA">
      <w:r w:rsidRPr="00D2345D">
        <w:t xml:space="preserve">“Local” linear regressions of each species level SV against each each IgG that showed a statistically significant global trend after q-value correction </w:t>
      </w:r>
      <w:r w:rsidR="00793099">
        <w:t>showed that</w:t>
      </w:r>
      <w:r w:rsidRPr="00D2345D">
        <w:t xml:space="preserve"> no species level group associated with any specific IgG. In contrast, with taxonomic agglomeration, it was evident that each IgG was associated with multiple taxa at each of several taxonomic levels. All IgG measurement-time point combinations that were statistically associated with the overall community, according to global tests, were also associated with some family level taxa (q&lt;0.2, p&lt; 0.05). Thus, for our subsequent analyses, we focus on family level patterns.</w:t>
      </w:r>
    </w:p>
    <w:p w14:paraId="00CCD2F6" w14:textId="3CEC8B3A" w:rsidR="00D2345D" w:rsidRPr="00D2345D" w:rsidRDefault="00D2345D" w:rsidP="00211BCA">
      <w:pPr>
        <w:rPr>
          <w:sz w:val="24"/>
          <w:szCs w:val="24"/>
        </w:rPr>
      </w:pPr>
      <w:r w:rsidRPr="00D2345D">
        <w:t>Analysis of proportionality showed that, at the family level there were three main co-occurring family level proportional clusters in this dataset (Figure 4). One proportional clus</w:t>
      </w:r>
      <w:r w:rsidR="00320C56">
        <w:t xml:space="preserve">ter contained families </w:t>
      </w:r>
      <w:r w:rsidR="00320C56" w:rsidRPr="00D2345D">
        <w:t>that were positively associated with gp41 day 0 responses</w:t>
      </w:r>
      <w:r w:rsidR="00320C56">
        <w:t>. This cluster contained one family level group named “Clostridia” in Figure 4 because it contains multiple taxa from the Clostridia class, and which included organisms from family Clostridiales Incertae XI. It also contained a family level group “Anarocococcus”, so named because if only contains taxa from genus Anarococcus. This same cluster also contained</w:t>
      </w:r>
      <w:r w:rsidRPr="00D2345D">
        <w:t xml:space="preserve"> </w:t>
      </w:r>
      <w:r w:rsidR="00320C56">
        <w:t>family level groups</w:t>
      </w:r>
      <w:r w:rsidRPr="00D2345D">
        <w:t xml:space="preserve"> that were negatively </w:t>
      </w:r>
      <w:r w:rsidR="00320C56">
        <w:t>associated with gp41 at the 6.5-</w:t>
      </w:r>
      <w:r w:rsidRPr="00D2345D">
        <w:t xml:space="preserve">month time point, and </w:t>
      </w:r>
      <w:r w:rsidR="00320C56">
        <w:t>groups</w:t>
      </w:r>
      <w:r w:rsidRPr="00D2345D">
        <w:t xml:space="preserve"> that were positively associated with </w:t>
      </w:r>
      <w:r w:rsidR="00320C56">
        <w:t>Con.6.gp120.B</w:t>
      </w:r>
      <w:r w:rsidRPr="00D2345D">
        <w:t xml:space="preserve">, </w:t>
      </w:r>
      <w:r w:rsidR="00320C56">
        <w:t>ZM96.gp</w:t>
      </w:r>
      <w:r w:rsidRPr="00D2345D">
        <w:t xml:space="preserve">140 and </w:t>
      </w:r>
      <w:r w:rsidR="00320C56">
        <w:t>gp70 B.CaseA V</w:t>
      </w:r>
      <w:r w:rsidRPr="00D2345D">
        <w:t>1</w:t>
      </w:r>
      <w:r w:rsidR="00320C56">
        <w:t>-V</w:t>
      </w:r>
      <w:r w:rsidRPr="00D2345D">
        <w:t xml:space="preserve">2 concentrations. In contrast, families in the other proportional cluster (which included two families from the Bacteroides </w:t>
      </w:r>
      <w:r w:rsidR="00524558" w:rsidRPr="00D2345D">
        <w:t>phylum</w:t>
      </w:r>
      <w:r w:rsidRPr="00D2345D">
        <w:t xml:space="preserve"> </w:t>
      </w:r>
      <w:r w:rsidR="00524558">
        <w:t>as well as</w:t>
      </w:r>
      <w:r w:rsidRPr="00D2345D">
        <w:t xml:space="preserve"> several Clostridiales and other Firmicutes</w:t>
      </w:r>
      <w:r w:rsidR="00320C56">
        <w:t xml:space="preserve"> containing</w:t>
      </w:r>
      <w:r w:rsidRPr="00D2345D">
        <w:t xml:space="preserve"> families that were different </w:t>
      </w:r>
      <w:r w:rsidR="00320C56" w:rsidRPr="00D2345D">
        <w:t>from</w:t>
      </w:r>
      <w:r w:rsidRPr="00D2345D">
        <w:t xml:space="preserve"> the ones in the first proportional group) were negatively associated with gp41 and positively associated with the other immune variables. The third proportional cluster appeared independent of immune variation.</w:t>
      </w:r>
    </w:p>
    <w:p w14:paraId="4CC5E076" w14:textId="77777777" w:rsidR="00D2345D" w:rsidRPr="00D2345D" w:rsidRDefault="00D2345D" w:rsidP="00F617A6">
      <w:pPr>
        <w:pStyle w:val="Heading1"/>
        <w:rPr>
          <w:rFonts w:ascii="Times New Roman" w:hAnsi="Times New Roman" w:cs="Times New Roman"/>
          <w:b/>
          <w:bCs/>
          <w:sz w:val="48"/>
          <w:szCs w:val="48"/>
        </w:rPr>
      </w:pPr>
      <w:r w:rsidRPr="00D2345D">
        <w:t>Discussion</w:t>
      </w:r>
    </w:p>
    <w:p w14:paraId="5E40F871" w14:textId="77777777" w:rsidR="00D2345D" w:rsidRPr="00D2345D" w:rsidRDefault="00D2345D" w:rsidP="00F617A6">
      <w:pPr>
        <w:pStyle w:val="Heading2"/>
        <w:rPr>
          <w:rFonts w:ascii="Times New Roman" w:hAnsi="Times New Roman" w:cs="Times New Roman"/>
          <w:b/>
          <w:bCs/>
          <w:sz w:val="36"/>
          <w:szCs w:val="36"/>
        </w:rPr>
      </w:pPr>
      <w:r w:rsidRPr="00D2345D">
        <w:t>The microbiome associates with baseline levels of gp41 IgG response</w:t>
      </w:r>
    </w:p>
    <w:p w14:paraId="7D87E9BA" w14:textId="0E9B25DE" w:rsidR="00D2345D" w:rsidRPr="00D2345D" w:rsidRDefault="00D2345D" w:rsidP="00211BCA">
      <w:pPr>
        <w:rPr>
          <w:sz w:val="24"/>
          <w:szCs w:val="24"/>
        </w:rPr>
      </w:pPr>
      <w:r w:rsidRPr="00D2345D">
        <w:lastRenderedPageBreak/>
        <w:t>The statistical association between the microbiome and gp41 specific IgG concentration at the baseline visit in our study supports previous indications that suggest that the microbiome shapes immune system development and function</w:t>
      </w:r>
      <w:r w:rsidR="009D75FA">
        <w:t xml:space="preserve"> </w:t>
      </w:r>
      <w:r w:rsidR="009D75FA">
        <w:fldChar w:fldCharType="begin"/>
      </w:r>
      <w:r w:rsidR="00D34B5C">
        <w:instrText xml:space="preserve"> ADDIN ZOTERO_ITEM CSL_CITATION {"citationID":"VvFX3N8K","properties":{"formattedCitation":"(e.g. Hooper et al., 2012)","plainCitation":"(e.g. Hooper et al., 2012)","noteIndex":0},"citationItems":[{"id":4017,"uris":["http://zotero.org/groups/1167044/items/GJTH7UQV"],"uri":["http://zotero.org/groups/1167044/items/GJTH7UQV"],"itemData":{"id":4017,"type":"article-journal","title":"Interactions between the microbiota and the immune system","container-title":"Science (New York, N.Y.)","page":"1268-1273","volume":"336","issue":"6086","source":"PubMed Central","abstract":"The large numbers of microorganisms that inhabit mammalian body surfaces have a highly co-evolved relationship with the immune system. Although many of these microbes carry out functions that are critical for host physiology, they nevertheless pose the threat of breach with ensuing pathologies. The mammalian immune system plays an essential role in maintaining homeostasis with resident microbial communities, thus ensuring that the mutualistic nature of the host-microbial relationship is maintained. At the same time, resident bacteria profoundly shape mammalian immunity. Here we review advances in our understanding of the interactions between resident microbes and the immune system and the implications of these findings for human health.","DOI":"10.1126/science.1223490","ISSN":"0036-8075","note":"PMID: 22674334\nPMCID: PMC4420145","journalAbbreviation":"Science","author":[{"family":"Hooper","given":"Lora V."},{"family":"Littman","given":"Dan R."},{"family":"Macpherson","given":"Andrew J."}],"issued":{"date-parts":[["2012",6,8]]}},"prefix":"e.g."}],"schema":"https://github.com/citation-style-language/schema/raw/master/csl-citation.json"} </w:instrText>
      </w:r>
      <w:r w:rsidR="009D75FA">
        <w:fldChar w:fldCharType="separate"/>
      </w:r>
      <w:r w:rsidR="00D34B5C" w:rsidRPr="00D34B5C">
        <w:t>(e.g. Hooper et al., 2012)</w:t>
      </w:r>
      <w:r w:rsidR="009D75FA">
        <w:fldChar w:fldCharType="end"/>
      </w:r>
      <w:r w:rsidRPr="00D2345D">
        <w:t xml:space="preserve">. To our </w:t>
      </w:r>
      <w:r w:rsidR="00524558" w:rsidRPr="00D2345D">
        <w:t>knowledge,</w:t>
      </w:r>
      <w:r w:rsidRPr="00D2345D">
        <w:t xml:space="preserve"> this paper is the first to identify a correlation between baseline gp41 binding IgG antibodies and the microbiome. Such an association may be an example of either the immune system reacting to the presence of microorganisms, or else producing IgG antibodies selecting for certain organisms, or likely a combination of both. While gp41 is believed to be specific </w:t>
      </w:r>
      <w:r w:rsidR="00F436F7">
        <w:t>to retroviruses</w:t>
      </w:r>
      <w:r w:rsidR="00D34B5C">
        <w:t xml:space="preserve"> </w:t>
      </w:r>
      <w:r w:rsidR="00D34B5C">
        <w:fldChar w:fldCharType="begin"/>
      </w:r>
      <w:r w:rsidR="00D34B5C">
        <w:instrText xml:space="preserve"> ADDIN ZOTERO_ITEM CSL_CITATION {"citationID":"hz0sEwZ9","properties":{"formattedCitation":"(Freed and Martin, 1995)","plainCitation":"(Freed and Martin, 1995)","noteIndex":0},"citationItems":[{"id":4838,"uris":["http://zotero.org/groups/1167044/items/VP3HCLM6"],"uri":["http://zotero.org/groups/1167044/items/VP3HCLM6"],"itemData":{"id":4838,"type":"article-journal","title":"The Role of Human Immunodeficiency Virus Type 1 Envelope Glycoproteins in Virus Infection","container-title":"Journal of Biological Chemistry","page":"23883-23886","volume":"270","issue":"41","source":"www.jbc.org","DOI":"10.1074/jbc.270.41.23883","ISSN":"0021-9258, 1083-351X","note":"PMID: 7592573","journalAbbreviation":"J. Biol. Chem.","language":"en","author":[{"family":"Freed","given":"Eric O."},{"family":"Martin","given":"Malcolm A."}],"issued":{"date-parts":[["1995",10,13]]}}}],"schema":"https://github.com/citation-style-language/schema/raw/master/csl-citation.json"} </w:instrText>
      </w:r>
      <w:r w:rsidR="00D34B5C">
        <w:fldChar w:fldCharType="separate"/>
      </w:r>
      <w:r w:rsidR="00D34B5C" w:rsidRPr="00D34B5C">
        <w:t>(Freed and Martin, 1995)</w:t>
      </w:r>
      <w:r w:rsidR="00D34B5C">
        <w:fldChar w:fldCharType="end"/>
      </w:r>
      <w:r w:rsidR="00F436F7" w:rsidRPr="00D2345D">
        <w:t>,</w:t>
      </w:r>
      <w:r w:rsidRPr="00D2345D">
        <w:t xml:space="preserve"> evidence is mounting that the microbiome has analogues which </w:t>
      </w:r>
      <w:r w:rsidR="00F436F7" w:rsidRPr="00D2345D">
        <w:t>cross-react</w:t>
      </w:r>
      <w:r w:rsidRPr="00D2345D">
        <w:t xml:space="preserve"> with gp41 binding antibodies</w:t>
      </w:r>
      <w:r w:rsidR="00D34B5C">
        <w:t xml:space="preserve"> </w:t>
      </w:r>
      <w:r w:rsidR="00D34B5C">
        <w:fldChar w:fldCharType="begin"/>
      </w:r>
      <w:r w:rsidR="00D34B5C">
        <w:instrText xml:space="preserve"> ADDIN ZOTERO_ITEM CSL_CITATION {"citationID":"h0tyiUmW","properties":{"formattedCitation":"(Trama et al., 2014; Williams et al., 2015, 2018)","plainCitation":"(Trama et al., 2014; Williams et al., 2015, 2018)","noteIndex":0},"citationItems":[{"id":4930,"uris":["http://zotero.org/groups/1167044/items/B7UZN7LM"],"uri":["http://zotero.org/groups/1167044/items/B7UZN7LM"],"itemData":{"id":4930,"type":"article-journal","title":"HIV-1 Envelope gp41 Antibodies Can Originate from Terminal Ileum B Cells that Share Cross-Reactivity with Commensal Bacteria","container-title":"Cell Host &amp; Microbe","page":"215-226","volume":"16","issue":"2","source":"ScienceDirect","abstract":"Summary\nMonoclonal antibodies derived from blood plasma cells of acute HIV-1-infected individuals are predominantly targeted to the HIV Env gp41 and cross-reactive with commensal bacteria. To understand this phenomenon, we examined anti-HIV responses in ileum B cells using recombinant antibody technology and probed their relationship to commensal bacteria. The dominant ileum B cell response was to Env gp41. Remarkably, a majority (82%) of the ileum anti-gp41 antibodies cross-reacted with commensal bacteria, and of those, 43% showed non-HIV-1 antigen polyreactivity. Pyrosequencing revealed shared HIV-1 antibody clonal lineages between ileum and blood. Mutated immunoglobulin G antibodies cross-reactive with both Env gp41 and microbiota could also be isolated from the ileum of HIV-1 uninfected individuals. Thus, the gp41 commensal bacterial antigen cross-reactive antibodies originate in the intestine, and the gp41 Env response in HIV-1 infection can be derived from a preinfection memory B cell pool triggered by commensal bacteria that cross-react with Env.","DOI":"10.1016/j.chom.2014.07.003","ISSN":"1931-3128","journalAbbreviation":"Cell Host &amp; Microbe","author":[{"family":"Trama","given":"Ashley M."},{"family":"Moody","given":"M. Anthony"},{"family":"Alam","given":"S. Munir"},{"family":"Jaeger","given":"Frederick H."},{"family":"Lockwood","given":"Bradley"},{"family":"Parks","given":"Robert"},{"family":"Lloyd","given":"Krissey E."},{"family":"Stolarchuk","given":"Christina"},{"family":"Scearce","given":"Richard"},{"family":"Foulger","given":"Andrew"},{"family":"Marshall","given":"Dawn J."},{"family":"Whitesides","given":"John F."},{"family":"Jeffries","given":"Thomas L."},{"family":"Wiehe","given":"Kevin"},{"family":"Morris","given":"Lynn"},{"family":"Lambson","given":"Bronwen"},{"family":"Soderberg","given":"Kelly"},{"family":"Hwang","given":"Kwan-Ki"},{"family":"Tomaras","given":"Georgia D."},{"family":"Vandergrift","given":"Nathan"},{"family":"Jackson","given":"Katherine J. L."},{"family":"Roskin","given":"Krishna M."},{"family":"Boyd","given":"Scott D."},{"family":"Kepler","given":"Thomas B."},{"family":"Liao","given":"Hua-Xin"},{"family":"Haynes","given":"Barton F."}],"issued":{"date-parts":[["2014",8,13]]}}},{"id":3755,"uris":["http://zotero.org/groups/1167044/items/5275UVXW"],"uri":["http://zotero.org/groups/1167044/items/5275UVXW"],"itemData":{"id":3755,"type":"article-journal","title":"Diversion of HIV-1 vaccine–induced immunity by gp41-microbiota cross-reactive antibodies","container-title":"Science","page":"aab1253","source":"science.sciencemag.org.offcampus.lib.washington.edu","abstract":"A HIV-1 DNA prime-recombinant Adenovirus Type 5 (rAd5) boost vaccine failed to protect from HIV-1 acquisition. We studied the nature of the vaccine-induced antibody (Ab) response to HIV-1 envelope (Env). HIV-1-reactive plasma Ab titers were higher to Env gp41 than gp120, and repertoire analysis demonstrated that 93% of HIV-1-reactive Abs from memory B cells was to Env gp41. Vaccine-induced gp41-reactive monoclonal antibodies (mAbs) were non-neutralizing, and frequently polyreactive with host and environmental antigens including intestinal microbiota (IM). Next generation sequencing of an IGHV repertoire prior to vaccination revealed an Env-IM cross-reactive Ab that was clonally-related to a subsequent vaccine-induced gp41-reactive Ab. Thus, HIV-1 Env DNA-rAd5 vaccine induced a dominant IM-polyreactive, non-neutralizing gp41-reactive Ab repertoire response that was associated with no vaccine efficacy.","DOI":"10.1126/science.aab1253","ISSN":"0036-8075, 1095-9203","note":"PMID: 26229114","language":"en","author":[{"family":"Williams","given":"Wilton B."},{"family":"Liao","given":"Hua-Xin"},{"family":"Moody","given":"M. Anthony"},{"family":"Kepler","given":"Thomas B."},{"family":"Alam","given":"S. Munir"},{"family":"Gao","given":"Feng"},{"family":"Wiehe","given":"Kevin"},{"family":"Trama","given":"Ashley M."},{"family":"Jones","given":"Kathryn"},{"family":"Zhang","given":"Ruijun"},{"family":"Song","given":"Hongshuo"},{"family":"Marshall","given":"Dawn J."},{"family":"Whitesides","given":"John F."},{"family":"Sawatzki","given":"Kaitlin"},{"family":"Hua","given":"Axin"},{"family":"Liu","given":"Pinghuang"},{"family":"Tay","given":"Matthew Z."},{"family":"Seaton","given":"Kelly"},{"family":"Shen","given":"Xiaoying"},{"family":"Foulger","given":"Andrew"},{"family":"Lloyd","given":"Krissey E."},{"family":"Parks","given":"Robert"},{"family":"Pollara","given":"Justin"},{"family":"Ferrari","given":"Guido"},{"family":"Yu","given":"Jae-Sung"},{"family":"Vandergrift","given":"Nathan"},{"family":"Montefiori","given":"David C."},{"family":"Sobieszczyk","given":"Magdalena E."},{"family":"Hammer","given":"Scott"},{"family":"Karuna","given":"Shelly"},{"family":"Gilbert","given":"Peter"},{"family":"Grove","given":"Doug"},{"family":"Grunenberg","given":"Nicole"},{"family":"McElrath","given":"Julie"},{"family":"Mascola","given":"John R."},{"family":"Koup","given":"Richard A."},{"family":"Corey","given":"Lawrence"},{"family":"Nabel","given":"Gary J."},{"family":"Morgan","given":"Cecilia"},{"family":"Churchyard","given":"Gavin"},{"family":"Maenza","given":"Janine"},{"family":"Keefer","given":"Michael"},{"family":"Graham","given":"Barney S."},{"family":"Baden","given":"Lindsey R."},{"family":"Tomaras","given":"Georgia D."},{"family":"Haynes","given":"Barton F."}],"issued":{"date-parts":[["2015",7,30]]}}},{"id":4806,"uris":["http://zotero.org/groups/1167044/items/4VSNLIFW"],"uri":["http://zotero.org/groups/1167044/items/4VSNLIFW"],"itemData":{"id":4806,"type":"article-journal","title":"Cross-reactivity of HIV vaccine responses and the microbiome:","container-title":"Current Opinion in HIV and AIDS","page":"9-14","volume":"13","issue":"1","source":"CrossRef","DOI":"10.1097/COH.0000000000000423","ISSN":"1746-630X","shortTitle":"Cross-reactivity of HIV vaccine responses and the microbiome","language":"en","author":[{"family":"Williams","given":"Wilton B."},{"family":"Han","given":"Qifeng"},{"family":"Haynes","given":"Barton F."}],"issued":{"date-parts":[["2018",1]]}}}],"schema":"https://github.com/citation-style-language/schema/raw/master/csl-citation.json"} </w:instrText>
      </w:r>
      <w:r w:rsidR="00D34B5C">
        <w:fldChar w:fldCharType="separate"/>
      </w:r>
      <w:r w:rsidR="00D34B5C" w:rsidRPr="00D34B5C">
        <w:t>(Trama et al., 2014; Williams et al., 2015, 2018)</w:t>
      </w:r>
      <w:r w:rsidR="00D34B5C">
        <w:fldChar w:fldCharType="end"/>
      </w:r>
      <w:r w:rsidRPr="00D2345D">
        <w:t xml:space="preserve">. Indeed, if this is the case, microorganisms with gp41 analogue proteins may elicit an immune response that is </w:t>
      </w:r>
      <w:r w:rsidR="00F436F7" w:rsidRPr="00D2345D">
        <w:t>cross specific</w:t>
      </w:r>
      <w:r w:rsidRPr="00D2345D">
        <w:t xml:space="preserve"> to both HIV and the microbiome</w:t>
      </w:r>
      <w:r w:rsidR="00D34B5C">
        <w:t xml:space="preserve"> </w:t>
      </w:r>
      <w:r w:rsidR="00D34B5C">
        <w:fldChar w:fldCharType="begin"/>
      </w:r>
      <w:r w:rsidR="00D34B5C">
        <w:instrText xml:space="preserve"> ADDIN ZOTERO_ITEM CSL_CITATION {"citationID":"uTcYwnwD","properties":{"formattedCitation":"(Williams et al., 2015)","plainCitation":"(Williams et al., 2015)","noteIndex":0},"citationItems":[{"id":3755,"uris":["http://zotero.org/groups/1167044/items/5275UVXW"],"uri":["http://zotero.org/groups/1167044/items/5275UVXW"],"itemData":{"id":3755,"type":"article-journal","title":"Diversion of HIV-1 vaccine–induced immunity by gp41-microbiota cross-reactive antibodies","container-title":"Science","page":"aab1253","source":"science.sciencemag.org.offcampus.lib.washington.edu","abstract":"A HIV-1 DNA prime-recombinant Adenovirus Type 5 (rAd5) boost vaccine failed to protect from HIV-1 acquisition. We studied the nature of the vaccine-induced antibody (Ab) response to HIV-1 envelope (Env). HIV-1-reactive plasma Ab titers were higher to Env gp41 than gp120, and repertoire analysis demonstrated that 93% of HIV-1-reactive Abs from memory B cells was to Env gp41. Vaccine-induced gp41-reactive monoclonal antibodies (mAbs) were non-neutralizing, and frequently polyreactive with host and environmental antigens including intestinal microbiota (IM). Next generation sequencing of an IGHV repertoire prior to vaccination revealed an Env-IM cross-reactive Ab that was clonally-related to a subsequent vaccine-induced gp41-reactive Ab. Thus, HIV-1 Env DNA-rAd5 vaccine induced a dominant IM-polyreactive, non-neutralizing gp41-reactive Ab repertoire response that was associated with no vaccine efficacy.","DOI":"10.1126/science.aab1253","ISSN":"0036-8075, 1095-9203","note":"PMID: 26229114","language":"en","author":[{"family":"Williams","given":"Wilton B."},{"family":"Liao","given":"Hua-Xin"},{"family":"Moody","given":"M. Anthony"},{"family":"Kepler","given":"Thomas B."},{"family":"Alam","given":"S. Munir"},{"family":"Gao","given":"Feng"},{"family":"Wiehe","given":"Kevin"},{"family":"Trama","given":"Ashley M."},{"family":"Jones","given":"Kathryn"},{"family":"Zhang","given":"Ruijun"},{"family":"Song","given":"Hongshuo"},{"family":"Marshall","given":"Dawn J."},{"family":"Whitesides","given":"John F."},{"family":"Sawatzki","given":"Kaitlin"},{"family":"Hua","given":"Axin"},{"family":"Liu","given":"Pinghuang"},{"family":"Tay","given":"Matthew Z."},{"family":"Seaton","given":"Kelly"},{"family":"Shen","given":"Xiaoying"},{"family":"Foulger","given":"Andrew"},{"family":"Lloyd","given":"Krissey E."},{"family":"Parks","given":"Robert"},{"family":"Pollara","given":"Justin"},{"family":"Ferrari","given":"Guido"},{"family":"Yu","given":"Jae-Sung"},{"family":"Vandergrift","given":"Nathan"},{"family":"Montefiori","given":"David C."},{"family":"Sobieszczyk","given":"Magdalena E."},{"family":"Hammer","given":"Scott"},{"family":"Karuna","given":"Shelly"},{"family":"Gilbert","given":"Peter"},{"family":"Grove","given":"Doug"},{"family":"Grunenberg","given":"Nicole"},{"family":"McElrath","given":"Julie"},{"family":"Mascola","given":"John R."},{"family":"Koup","given":"Richard A."},{"family":"Corey","given":"Lawrence"},{"family":"Nabel","given":"Gary J."},{"family":"Morgan","given":"Cecilia"},{"family":"Churchyard","given":"Gavin"},{"family":"Maenza","given":"Janine"},{"family":"Keefer","given":"Michael"},{"family":"Graham","given":"Barney S."},{"family":"Baden","given":"Lindsey R."},{"family":"Tomaras","given":"Georgia D."},{"family":"Haynes","given":"Barton F."}],"issued":{"date-parts":[["2015",7,30]]}}}],"schema":"https://github.com/citation-style-language/schema/raw/master/csl-citation.json"} </w:instrText>
      </w:r>
      <w:r w:rsidR="00D34B5C">
        <w:fldChar w:fldCharType="separate"/>
      </w:r>
      <w:r w:rsidR="00D34B5C" w:rsidRPr="00D34B5C">
        <w:t>(Williams et al., 2015)</w:t>
      </w:r>
      <w:r w:rsidR="00D34B5C">
        <w:fldChar w:fldCharType="end"/>
      </w:r>
      <w:r w:rsidRPr="00D2345D">
        <w:t xml:space="preserve">. </w:t>
      </w:r>
    </w:p>
    <w:p w14:paraId="621E8D3D" w14:textId="77777777" w:rsidR="00D2345D" w:rsidRPr="00D2345D" w:rsidRDefault="00D2345D" w:rsidP="00F617A6">
      <w:pPr>
        <w:pStyle w:val="Heading2"/>
        <w:rPr>
          <w:rFonts w:ascii="Times New Roman" w:hAnsi="Times New Roman" w:cs="Times New Roman"/>
          <w:b/>
          <w:bCs/>
          <w:sz w:val="36"/>
          <w:szCs w:val="36"/>
        </w:rPr>
      </w:pPr>
      <w:r w:rsidRPr="00D2345D">
        <w:t>The microbiome is a correlate of vaccine immunogenicity</w:t>
      </w:r>
    </w:p>
    <w:p w14:paraId="491D42FD" w14:textId="1B893F44" w:rsidR="00D2345D" w:rsidRPr="00D2345D" w:rsidRDefault="00D2345D" w:rsidP="00211BCA">
      <w:pPr>
        <w:rPr>
          <w:sz w:val="24"/>
          <w:szCs w:val="24"/>
        </w:rPr>
      </w:pPr>
      <w:r w:rsidRPr="00D2345D">
        <w:t xml:space="preserve">This study’s observed association between microbiome and immunogenicity of the NYVAC containing vaccine regimens expands on a pool of literature that suggests that the microbiome appears to influence the immune system and associates with vaccine immunogenicity. This relationship between vaccines and microbiota likely follows from the former’s </w:t>
      </w:r>
      <w:r w:rsidR="00F436F7" w:rsidRPr="00D2345D">
        <w:t>well-documented</w:t>
      </w:r>
      <w:r w:rsidRPr="00D2345D">
        <w:t xml:space="preserve"> role in shaping the function and development of the immune system</w:t>
      </w:r>
      <w:r w:rsidR="003C7E4B">
        <w:t xml:space="preserve"> </w:t>
      </w:r>
      <w:r w:rsidR="003C7E4B">
        <w:fldChar w:fldCharType="begin"/>
      </w:r>
      <w:r w:rsidR="003C7E4B">
        <w:instrText xml:space="preserve"> ADDIN ZOTERO_ITEM CSL_CITATION {"citationID":"HZM5NQso","properties":{"formattedCitation":"(Hooper et al., 2012)","plainCitation":"(Hooper et al., 2012)","noteIndex":0},"citationItems":[{"id":4017,"uris":["http://zotero.org/groups/1167044/items/GJTH7UQV"],"uri":["http://zotero.org/groups/1167044/items/GJTH7UQV"],"itemData":{"id":4017,"type":"article-journal","title":"Interactions between the microbiota and the immune system","container-title":"Science (New York, N.Y.)","page":"1268-1273","volume":"336","issue":"6086","source":"PubMed Central","abstract":"The large numbers of microorganisms that inhabit mammalian body surfaces have a highly co-evolved relationship with the immune system. Although many of these microbes carry out functions that are critical for host physiology, they nevertheless pose the threat of breach with ensuing pathologies. The mammalian immune system plays an essential role in maintaining homeostasis with resident microbial communities, thus ensuring that the mutualistic nature of the host-microbial relationship is maintained. At the same time, resident bacteria profoundly shape mammalian immunity. Here we review advances in our understanding of the interactions between resident microbes and the immune system and the implications of these findings for human health.","DOI":"10.1126/science.1223490","ISSN":"0036-8075","note":"PMID: 22674334\nPMCID: PMC4420145","journalAbbreviation":"Science","author":[{"family":"Hooper","given":"Lora V."},{"family":"Littman","given":"Dan R."},{"family":"Macpherson","given":"Andrew J."}],"issued":{"date-parts":[["2012",6,8]]}}}],"schema":"https://github.com/citation-style-language/schema/raw/master/csl-citation.json"} </w:instrText>
      </w:r>
      <w:r w:rsidR="003C7E4B">
        <w:fldChar w:fldCharType="separate"/>
      </w:r>
      <w:r w:rsidR="003C7E4B" w:rsidRPr="003C7E4B">
        <w:t>(Hooper et al., 2012)</w:t>
      </w:r>
      <w:r w:rsidR="003C7E4B">
        <w:fldChar w:fldCharType="end"/>
      </w:r>
      <w:r w:rsidR="003C7E4B">
        <w:t>.</w:t>
      </w:r>
      <w:r w:rsidRPr="00D2345D">
        <w:t xml:space="preserve"> Because the microbiome shapes immune system development and function, it should not come as a surprise that this immune system’s response to vaccines relates to the microbiome. Indeed, the efficacy of rotavirus and oral polio vaccine efficacy have been previously shown to relate to microbial community structure</w:t>
      </w:r>
      <w:r w:rsidR="003C7E4B">
        <w:t xml:space="preserve"> </w:t>
      </w:r>
      <w:r w:rsidR="003C7E4B">
        <w:fldChar w:fldCharType="begin"/>
      </w:r>
      <w:r w:rsidR="003C7E4B">
        <w:instrText xml:space="preserve"> ADDIN ZOTERO_ITEM CSL_CITATION {"citationID":"DA506Ovf","properties":{"formattedCitation":"(Harris et al., 2017; Huda et al., 2014; Lagos et al., 1999)","plainCitation":"(Harris et al., 2017; Huda et al., 2014; Lagos et al., 1999)","noteIndex":0},"citationItems":[{"id":299,"uris":["http://zotero.org/groups/1167044/items/PV9FM27M"],"uri":["http://zotero.org/groups/1167044/items/PV9FM27M"],"itemData":{"id":299,"type":"article-journal","title":"Significant correlation between the infant gut microbiome and rotavirus vaccine response in rural ghana","container-title":"The Journal of Infectious Diseases","page":"34-41","volume":"215","issue":"1","source":"academic.oup.com","DOI":"10.1093/infdis/jiw518","ISSN":"0022-1899","journalAbbreviation":"J Infect Dis","author":[{"family":"Harris","given":"Vanessa C."},{"family":"Armah","given":"George"},{"family":"Fuentes","given":"Susana"},{"family":"Korpela","given":"Katri E."},{"family":"Parashar","given":"Umesh"},{"family":"Victor","given":"John C."},{"family":"Tate","given":"Jacqueline"},{"family":"Weerth","given":"Carolina","non-dropping-particle":"de"},{"family":"Giaquinto","given":"Carlo"},{"family":"Wiersinga","given":"Willem Joost"},{"family":"Lewis","given":"Kristen D. C."},{"family":"Vos","given":"De"},{"family":"M","given":"Willem"}],"issued":{"date-parts":[["2017",1,1]]}}},{"id":3764,"uris":["http://zotero.org/groups/1167044/items/RIE2T7VD"],"uri":["http://zotero.org/groups/1167044/items/RIE2T7VD"],"itemData":{"id":3764,"type":"article-journal","title":"Stool microbiota and vaccine responses of infants","container-title":"Pediatrics","page":"e362-e372","volume":"134","issue":"2","source":"CrossRef","DOI":"10.1542/peds.2013-3937","ISSN":"0031-4005, 1098-4275","language":"en","author":[{"family":"Huda","given":"M. N."},{"family":"Lewis","given":"Z."},{"family":"Kalanetra","given":"K. M."},{"family":"Rashid","given":"M."},{"family":"Ahmad","given":"S. M."},{"family":"Raqib","given":"R."},{"family":"Qadri","given":"F."},{"family":"Underwood","given":"M. A."},{"family":"Mills","given":"D. A."},{"family":"Stephensen","given":"C. B."}],"issued":{"date-parts":[["2014",8,1]]}}},{"id":3735,"uris":["http://zotero.org/groups/1167044/items/IH7QCSBN"],"uri":["http://zotero.org/groups/1167044/items/IH7QCSBN"],"itemData":{"id":3735,"type":"article-journal","title":"Effect of Small Bowel Bacterial Overgrowth on the Immunogenicity of Single-Dose Live Oral Cholera Vaccine CVD 103-HgR","container-title":"The Journal of Infectious Diseases","page":"1709-1712","volume":"180","issue":"5","source":"JSTOR","abstract":"Several live oral vaccines (polio, bovine rotavirus, CVD 103-HgR cholera) are less immunogenic in developing than in industrialized countries. It was hypothesized that proximal small bowel bacterial overgrowth (common in children in less developed countries but rare in industrialized settings) diminishes the vibriocidal antibody response to CVD 103-HgR. In total, 202 fasting Santiago schoolchildren aged 5-9 years had lactulose breath H2 tests to detect proximal small bowel bacteria 1 day before ingesting CVD 103-HgR. Florid small bowel overgrowth was observed in 10 (5.6%) of 178 analyzable children. In children with florid overgrowth, vibriocidal seroconversion differed little from other children (60% vs. 67%), but the geometric mean titer was lower (160 vs. 368; P = .25). By logistic regression, increased peak breath$H_2$at small bowel time points was associated with diminished seroconversion (P = .04), as was the interaction of H₂ value and weight (children &gt;25 kg had lower seroconversion rates among subjects with heaviest overgrowth).","ISSN":"0022-1899","author":[{"family":"Lagos","given":"Rosanna"},{"family":"Fasano","given":"Alessio"},{"family":"Wasserman","given":"Steven S."},{"family":"Prado","given":"Valeria"},{"family":"San Martin","given":"Oriana"},{"family":"Abrego","given":"Paulina"},{"family":"Losonsky","given":"Genevieve A."},{"family":"Alegria","given":"Silvia"},{"family":"Levine","given":"Myron M."}],"issued":{"date-parts":[["1999"]]}}}],"schema":"https://github.com/citation-style-language/schema/raw/master/csl-citation.json"} </w:instrText>
      </w:r>
      <w:r w:rsidR="003C7E4B">
        <w:fldChar w:fldCharType="separate"/>
      </w:r>
      <w:r w:rsidR="003C7E4B" w:rsidRPr="003C7E4B">
        <w:t>(Harris et al., 2017; Huda et al., 2014; Lagos et al., 1999)</w:t>
      </w:r>
      <w:r w:rsidR="003C7E4B">
        <w:fldChar w:fldCharType="end"/>
      </w:r>
      <w:r w:rsidR="003C7E4B">
        <w:t xml:space="preserve">. Recently, Collins and Belkaid </w:t>
      </w:r>
      <w:r w:rsidR="003C7E4B">
        <w:fldChar w:fldCharType="begin"/>
      </w:r>
      <w:r w:rsidR="003C7E4B">
        <w:instrText xml:space="preserve"> ADDIN ZOTERO_ITEM CSL_CITATION {"citationID":"Qk77FVSd","properties":{"formattedCitation":"(2017)","plainCitation":"(2017)","noteIndex":0},"citationItems":[{"id":306,"uris":["http://zotero.org/groups/1167044/items/MWIV3S54"],"uri":["http://zotero.org/groups/1167044/items/MWIV3S54"],"itemData":{"id":306,"type":"article-journal","title":"Do the microbiota influence vaccines and protective immunity to pathogens?: engaging our endogenous adjuvants","container-title":"Cold Spring Harbor Perspectives in Biology","page":"a028860","source":"CrossRef","abstract":"The reliance of the immune system on constitutive microbial stimulation support the idea that\nboth responsiveness to vaccines and vaccine design need to be considered in the context of\nhost– microbiota interactions. Manipulation of microbe function or composition via\ndiet alteration or microbiota engraftment may soon become a viable approach to control\nimmunity and, as such, vaccine responses. Learning from our endogenous original adju-\nvants could be critical in overcoming the enormous hurdle of vaccine design against the\nnumerous pathogens that cause chronic infection. Going forward, rationally designed vac-\ncines that take advantage of the inherent adjuvant properties of the microbiota could have a\nmajor impact on the prevention of disease.","DOI":"10.1101/cshperspect.a028860","ISSN":"1943-0264","shortTitle":"Do the Microbiota Influence Vaccines and Protective Immunity to Pathogens?","language":"en","author":[{"family":"Collins","given":"Nicholas"},{"family":"Belkaid","given":"Yasmine"}],"issued":{"date-parts":[["2017",4,21]]}},"suppress-author":true}],"schema":"https://github.com/citation-style-language/schema/raw/master/csl-citation.json"} </w:instrText>
      </w:r>
      <w:r w:rsidR="003C7E4B">
        <w:fldChar w:fldCharType="separate"/>
      </w:r>
      <w:r w:rsidR="003C7E4B" w:rsidRPr="003C7E4B">
        <w:t>(2017)</w:t>
      </w:r>
      <w:r w:rsidR="003C7E4B">
        <w:fldChar w:fldCharType="end"/>
      </w:r>
      <w:r w:rsidRPr="00D2345D">
        <w:t xml:space="preserve"> suggested that some members of the microbiome may act as “endogenous adjuvants” enhancing vaccine responses, and proposed that vaccines should be developed to account for this property. </w:t>
      </w:r>
    </w:p>
    <w:p w14:paraId="029FB7FC" w14:textId="08B5A830" w:rsidR="00D2345D" w:rsidRPr="00D2345D" w:rsidRDefault="00D2345D" w:rsidP="00211BCA">
      <w:pPr>
        <w:rPr>
          <w:sz w:val="24"/>
          <w:szCs w:val="24"/>
        </w:rPr>
      </w:pPr>
      <w:r w:rsidRPr="00D2345D">
        <w:t xml:space="preserve">The observation that overall microbial community structure relates generally to the concentrations of several specific IgGs may suggest that the microbial community either shapes the host’s immune system’s response to vaccines or else that hosts with immune systems that are more responsive to vaccines somehow promote growth of different bacteria than hosts who are less responsive to vaccines. There are several mechanisms by which microbiota may impact the immune system in ways that are relevant to this study: The association of the composition of the gut microbiota with HIV-1 specific antibody binding at pre- and post-vaccination time points may indicate a direct role for microbes in developing the immune response. Such a role could be broad, involving pathways of the innate response and </w:t>
      </w:r>
      <w:r w:rsidR="00F436F7" w:rsidRPr="00D2345D">
        <w:t>innate</w:t>
      </w:r>
      <w:r w:rsidRPr="00D2345D">
        <w:t xml:space="preserve"> </w:t>
      </w:r>
      <w:r w:rsidR="00F436F7" w:rsidRPr="00D2345D">
        <w:t>lymphoid</w:t>
      </w:r>
      <w:r w:rsidRPr="00D2345D">
        <w:t xml:space="preserve"> cells as proposed previously</w:t>
      </w:r>
      <w:r w:rsidR="00CC6AD6">
        <w:t xml:space="preserve"> </w:t>
      </w:r>
      <w:r w:rsidR="00CC6AD6">
        <w:fldChar w:fldCharType="begin"/>
      </w:r>
      <w:r w:rsidR="00CC6AD6">
        <w:instrText xml:space="preserve"> ADDIN ZOTERO_ITEM CSL_CITATION {"citationID":"GnAvmEMI","properties":{"formattedCitation":"(Klose and Artis, 2016; Moro and Koyasu, 2015)","plainCitation":"(Klose and Artis, 2016; Moro and Koyasu, 2015)","noteIndex":0},"citationItems":[{"id":4945,"uris":["http://zotero.org/groups/1167044/items/Q2HJLB5E"],"uri":["http://zotero.org/groups/1167044/items/Q2HJLB5E"],"itemData":{"id":4945,"type":"article-journal","title":"Innate lymphoid cells as regulators of immunity, inflammation and tissue homeostasis","container-title":"Nature Immunology","page":"765-774","volume":"17","issue":"7","source":"www.nature.com","abstract":"Research over the last 7 years has led to the formal identification of innate lymphoid cells (ILCs), increased the understanding of their tissue distribution and has established essential functions of ILCs in diverse physiological processes. These include resistance to pathogens, the regulation of autoimmune inflammation, tissue remodeling, cancer and metabolic homeostasis. Notably, many ILC functions appear to be regulated by mechanisms distinct from those of other innate and adaptive immune cells. In this Review, we focus on how group 2 ILC (ILC2) and group 3 ILC (ILC3) responses are regulated and how these cells interact with other immune and non-immune cells to mediate their functions. We highlight experimental evidence from mouse models and patient-based studies that have elucidated the effects of ILCs on the maintenance of tissue homeostasis and the consequences for health and disease.","DOI":"10.1038/ni.3489","ISSN":"1529-2916","language":"en","author":[{"family":"Klose","given":"Christoph S. N."},{"family":"Artis","given":"David"}],"issued":{"date-parts":[["2016",7]]}}},{"id":4943,"uris":["http://zotero.org/groups/1167044/items/GK3IMR6P"],"uri":["http://zotero.org/groups/1167044/items/GK3IMR6P"],"itemData":{"id":4943,"type":"article-journal","title":"Innate lymphoid cells, possible interaction with microbiota","container-title":"Seminars in Immunopathology","page":"27-37","volume":"37","issue":"1","source":"Crossref","DOI":"10.1007/s00281-014-0470-4","ISSN":"1863-2297, 1863-2300","language":"en","author":[{"family":"Moro","given":"Kazuyo"},{"family":"Koyasu","given":"Shigeo"}],"issued":{"date-parts":[["2015",1]]}}}],"schema":"https://github.com/citation-style-language/schema/raw/master/csl-citation.json"} </w:instrText>
      </w:r>
      <w:r w:rsidR="00CC6AD6">
        <w:fldChar w:fldCharType="separate"/>
      </w:r>
      <w:r w:rsidR="00CC6AD6" w:rsidRPr="00CC6AD6">
        <w:t>(Klose and Artis, 2016; Moro and Koyasu, 2015)</w:t>
      </w:r>
      <w:r w:rsidR="00CC6AD6">
        <w:fldChar w:fldCharType="end"/>
      </w:r>
      <w:r w:rsidRPr="00D2345D">
        <w:t xml:space="preserve">. A direct role may also involve cross-reactive epitopes in gp41 and commensal bacteria. Additionally, </w:t>
      </w:r>
      <w:r w:rsidRPr="00D2345D">
        <w:lastRenderedPageBreak/>
        <w:t xml:space="preserve">microbial community structure may be indirectly associated with the response to vaccination because it acts as a readout and predictor of immune status. A baseline immunogenicity predictor (BIP) like the microbiota could be valuable in vaccine development as a </w:t>
      </w:r>
      <w:r w:rsidRPr="006B68DE">
        <w:t xml:space="preserve">correlate of efficacy </w:t>
      </w:r>
      <w:r w:rsidR="006B68DE">
        <w:fldChar w:fldCharType="begin"/>
      </w:r>
      <w:r w:rsidR="006B68DE">
        <w:instrText xml:space="preserve"> ADDIN ZOTERO_ITEM CSL_CITATION {"citationID":"S5wFrNIB","properties":{"formattedCitation":"(Gabriel and Follmann, 2016; Plotkin and Gilbert, 2012)","plainCitation":"(Gabriel and Follmann, 2016; Plotkin and Gilbert, 2012)","noteIndex":0},"citationItems":[{"id":4950,"uris":["http://zotero.org/groups/1167044/items/M9YTID8B"],"uri":["http://zotero.org/groups/1167044/items/M9YTID8B"],"itemData":{"id":4950,"type":"article-journal","title":"Augmented trial designs for evaluation of principal surrogates","container-title":"Biostatistics (Oxford, England)","page":"453-467","volume":"17","issue":"3","source":"PubMed Central","abstract":"Observation of counterfactual intermediate responses, and evaluation of them as candidate surrogates, is complicated in a standard randomized trial as half of the responses are systematically missing by design. Although some augmentation procedures exist for obtaining counterfactual responses, they are specific to vaccine trials. We outline extensions to the existing augmentations and suggest augmentations of three trial designs outside the setting of vaccines. We outline the assumptions needed to identify the causal estimands of interest under each augmented design, under which standard likelihood-based methods can be used to evaluate intermediate responses as principal surrogates. Two of these designs, crossover and individual stepped-wedge, allow for the observation of clinical endpoints under both treatment and control for some subset of subjects and can therefore improve efficiency over standard parallel trial designs. The third, the treatment run-in design, allows for the observation of a baseline measure that may be as useful a surrogate as the true counterfactual intermediate response. As the evaluation methods rely on several assumptions, we also outline a remediation analysis, which can be used to help overcome assumption violations. We illustrate our suggested methods in an example from a drug-resistant tuberculosis treatment trial.","DOI":"10.1093/biostatistics/kxv055","ISSN":"1465-4644","note":"PMID: 26825099\nPMCID: PMC4915608","journalAbbreviation":"Biostatistics","author":[{"family":"Gabriel","given":"Erin E."},{"family":"Follmann","given":"Dean"}],"issued":{"date-parts":[["2016",7]]}}},{"id":4949,"uris":["http://zotero.org/groups/1167044/items/BKHGLCV4"],"uri":["http://zotero.org/groups/1167044/items/BKHGLCV4"],"itemData":{"id":4949,"type":"article-journal","title":"Nomenclature for Immune Correlates of Protection After Vaccination","container-title":"Clinical Infectious Diseases","page":"1615-1617","volume":"54","issue":"11","source":"Crossref","DOI":"10.1093/cid/cis238","ISSN":"1058-4838, 1537-6591","language":"en","author":[{"family":"Plotkin","given":"S. A."},{"family":"Gilbert","given":"P. B."}],"issued":{"date-parts":[["2012",6,1]]}}}],"schema":"https://github.com/citation-style-language/schema/raw/master/csl-citation.json"} </w:instrText>
      </w:r>
      <w:r w:rsidR="006B68DE">
        <w:fldChar w:fldCharType="separate"/>
      </w:r>
      <w:r w:rsidR="006B68DE" w:rsidRPr="006B68DE">
        <w:t>(Gabriel and Follmann, 2016; Plotkin and Gilbert, 2012)</w:t>
      </w:r>
      <w:r w:rsidR="006B68DE">
        <w:fldChar w:fldCharType="end"/>
      </w:r>
      <w:r w:rsidRPr="006B68DE">
        <w:t>.</w:t>
      </w:r>
    </w:p>
    <w:p w14:paraId="4461EA61" w14:textId="60FC99F0" w:rsidR="00D2345D" w:rsidRPr="00D2345D" w:rsidRDefault="00D2345D" w:rsidP="00211BCA">
      <w:pPr>
        <w:rPr>
          <w:sz w:val="24"/>
          <w:szCs w:val="24"/>
        </w:rPr>
      </w:pPr>
      <w:r w:rsidRPr="00D2345D">
        <w:t xml:space="preserve">We identified groups of co-occurring organisms, which can be observed as proportional clusters of family level taxa (Figure 4) and represented as principal coordinate axes in weighted UniFrac space (Figure 2). These groups appear to associate with vaccine response, as measured by the production of a variety of antigen-specific antibodies, and are correlated in the opposite direction with baseline gp41 antibody levels. These proportional groups contain numerous organisms. Given the statistical power of our </w:t>
      </w:r>
      <w:r w:rsidR="00F436F7">
        <w:t>analysis</w:t>
      </w:r>
      <w:r w:rsidRPr="00D2345D">
        <w:t xml:space="preserve"> (</w:t>
      </w:r>
      <w:r w:rsidR="00F436F7" w:rsidRPr="00D2345D">
        <w:t>indeed,</w:t>
      </w:r>
      <w:r w:rsidRPr="00D2345D">
        <w:t xml:space="preserve"> there were only 21 participants)</w:t>
      </w:r>
      <w:r w:rsidR="00F436F7">
        <w:t>,</w:t>
      </w:r>
      <w:r w:rsidRPr="00D2345D">
        <w:t xml:space="preserve"> it is not possible to assign particular importance to any one organism within those clusters. Rather than trying to identify individual taxa, we focused on identifying and describing overall trends in community structure and its relationship to vaccine response. Our observed clusters of proportional organisms contained some taxa that were statistically associated with our variables of interest while others were not. We do not contend that the taxa that passed our significance threshold are more related to the variable of interest. Which organisms in this cluster happen to fall above or below the significance threshold may ultimately be stochastic, rather than indicative of these organisms importance. Rather, we contend that any organism or set of organisms within the cluster may be the ones most relevantly related to the parameter of </w:t>
      </w:r>
      <w:r w:rsidRPr="002B1BD1">
        <w:t xml:space="preserve">interest. For example, </w:t>
      </w:r>
      <w:r w:rsidR="002B1BD1" w:rsidRPr="002B1BD1">
        <w:t xml:space="preserve">while </w:t>
      </w:r>
      <w:r w:rsidRPr="002B1BD1">
        <w:t xml:space="preserve">we observe that communities with high abundance of </w:t>
      </w:r>
      <w:r w:rsidR="00320C56" w:rsidRPr="002B1BD1">
        <w:t>the “Clostrida”</w:t>
      </w:r>
      <w:r w:rsidR="002B1BD1" w:rsidRPr="002B1BD1">
        <w:t xml:space="preserve"> and “Anorococcus”</w:t>
      </w:r>
      <w:r w:rsidR="00626E72" w:rsidRPr="002B1BD1">
        <w:t xml:space="preserve"> f</w:t>
      </w:r>
      <w:r w:rsidR="00320C56" w:rsidRPr="002B1BD1">
        <w:t>amily level agglomerated group</w:t>
      </w:r>
      <w:r w:rsidR="002B1BD1" w:rsidRPr="002B1BD1">
        <w:t>s</w:t>
      </w:r>
      <w:r w:rsidR="00320C56" w:rsidRPr="002B1BD1">
        <w:t xml:space="preserve"> </w:t>
      </w:r>
      <w:r w:rsidR="002B1BD1" w:rsidRPr="002B1BD1">
        <w:t>(see Results Section 4.5)</w:t>
      </w:r>
      <w:r w:rsidRPr="002B1BD1">
        <w:t xml:space="preserve"> are characterized b</w:t>
      </w:r>
      <w:r w:rsidR="00E55EE2" w:rsidRPr="002B1BD1">
        <w:t>y high gp41 at day 0 (Figure 4)</w:t>
      </w:r>
      <w:r w:rsidR="002B1BD1" w:rsidRPr="002B1BD1">
        <w:t>, a</w:t>
      </w:r>
      <w:r w:rsidRPr="002B1BD1">
        <w:t>ll</w:t>
      </w:r>
      <w:r w:rsidRPr="00D2345D">
        <w:t xml:space="preserve">, some, or none of the SVs within these families may relate to the immune effects identified. </w:t>
      </w:r>
      <w:r w:rsidR="00F436F7" w:rsidRPr="00D2345D">
        <w:t>Indeed,</w:t>
      </w:r>
      <w:r w:rsidRPr="00D2345D">
        <w:t xml:space="preserve"> it may be other organisms that are statistically (and </w:t>
      </w:r>
      <w:r w:rsidR="00F436F7" w:rsidRPr="00D2345D">
        <w:t>perhaps</w:t>
      </w:r>
      <w:r w:rsidRPr="00D2345D">
        <w:t xml:space="preserve"> mechanistically) associated with </w:t>
      </w:r>
      <w:r w:rsidR="00F436F7" w:rsidRPr="00D2345D">
        <w:t>the</w:t>
      </w:r>
      <w:r w:rsidRPr="00D2345D">
        <w:t xml:space="preserve"> fami</w:t>
      </w:r>
      <w:r w:rsidR="00E55EE2">
        <w:t>lies that drive the effect.</w:t>
      </w:r>
    </w:p>
    <w:p w14:paraId="7B696F0B" w14:textId="77777777" w:rsidR="00D2345D" w:rsidRPr="00D2345D" w:rsidRDefault="00D2345D" w:rsidP="00F617A6">
      <w:pPr>
        <w:pStyle w:val="Heading2"/>
        <w:rPr>
          <w:rFonts w:ascii="Times New Roman" w:hAnsi="Times New Roman" w:cs="Times New Roman"/>
          <w:b/>
          <w:bCs/>
          <w:sz w:val="36"/>
          <w:szCs w:val="36"/>
        </w:rPr>
      </w:pPr>
      <w:r w:rsidRPr="00D2345D">
        <w:t>Relating baseline and immune responses</w:t>
      </w:r>
    </w:p>
    <w:p w14:paraId="16D5E7BE" w14:textId="73C2DDA6" w:rsidR="00D2345D" w:rsidRPr="00D2345D" w:rsidRDefault="00D2345D" w:rsidP="00211BCA">
      <w:pPr>
        <w:rPr>
          <w:sz w:val="24"/>
          <w:szCs w:val="24"/>
        </w:rPr>
      </w:pPr>
      <w:r w:rsidRPr="00D2345D">
        <w:t xml:space="preserve">The baseline and vaccine-induced IgG response appeared to correspond with the microbiome in opposite ways. Within the family level proportional cluster analysis, groups of families that were associated with high concentrations of gp41 binding IgG also associated with low levels of vaccine-induced antibody responses at the 6.5 and </w:t>
      </w:r>
      <w:r w:rsidR="00F436F7" w:rsidRPr="00D2345D">
        <w:t>12-month</w:t>
      </w:r>
      <w:r w:rsidRPr="00D2345D">
        <w:t xml:space="preserve"> time-points. Surprisingly, microorg</w:t>
      </w:r>
      <w:r w:rsidR="00F436F7">
        <w:t xml:space="preserve">anisms associated with high day </w:t>
      </w:r>
      <w:r w:rsidRPr="00D2345D">
        <w:t xml:space="preserve">0 gp41 IgGs were associated with low month 6.5 gp41 IgGs. Conversely, the proportional cluster that associated with low baseline Gp41 IgGs associated with high gp120, gp140 and gp70-v1v2 IgG responses to the vaccine. This pattern does not indicate that day0 gp41 response is itself related to vaccine immunogenicity. Direct assessments of the baseline gp41 binding and post-vaccination IgG revealed no </w:t>
      </w:r>
      <w:r w:rsidRPr="00D2345D">
        <w:lastRenderedPageBreak/>
        <w:t xml:space="preserve">significant associations (Fisher’s </w:t>
      </w:r>
      <w:r w:rsidR="00F436F7" w:rsidRPr="00D2345D">
        <w:t>exact</w:t>
      </w:r>
      <w:r w:rsidRPr="00D2345D">
        <w:t xml:space="preserve"> tests, all p &gt; 0.</w:t>
      </w:r>
      <w:r w:rsidR="00514D51">
        <w:t>0</w:t>
      </w:r>
      <w:r w:rsidRPr="00D2345D">
        <w:t xml:space="preserve">5). Rather it suggests that the microbial community that associates with low baseline response also associates with high vaccine immunogenicity. One possible mechanism for this relationship is the cross-reactivity of the immune system with gp41 analogues on bacteria. Bacteria that have gp41 analogues could elicit the production of antibodies that bind to gp41. These same bacteria could also cause the cross reactivity seen by Williams et al. (2015) thereby decreasing viral immunogenicity. One possible mechanism is that introducing a tolerogenic antigen (gp41 antigens through the gp140 epitope in the NYVAC) that </w:t>
      </w:r>
      <w:r w:rsidR="00F436F7" w:rsidRPr="00D2345D">
        <w:t>cross-reacts</w:t>
      </w:r>
      <w:r w:rsidRPr="00D2345D">
        <w:t xml:space="preserve"> with commensal microbial antigens results in enough tolerizing cytokine production and regulatory T cell activity to prevent strong vaccine immunogenicity and adjuvant responses from being generated.</w:t>
      </w:r>
    </w:p>
    <w:p w14:paraId="2728297C" w14:textId="77777777" w:rsidR="00D2345D" w:rsidRPr="00D2345D" w:rsidRDefault="00D2345D" w:rsidP="00F617A6">
      <w:pPr>
        <w:pStyle w:val="Heading2"/>
        <w:rPr>
          <w:rFonts w:ascii="Times New Roman" w:hAnsi="Times New Roman" w:cs="Times New Roman"/>
          <w:b/>
          <w:bCs/>
          <w:sz w:val="36"/>
          <w:szCs w:val="36"/>
        </w:rPr>
      </w:pPr>
      <w:r w:rsidRPr="00D2345D">
        <w:t>Caveats</w:t>
      </w:r>
    </w:p>
    <w:p w14:paraId="4ACC3C22" w14:textId="77777777" w:rsidR="00D2345D" w:rsidRPr="00D2345D" w:rsidRDefault="00D2345D" w:rsidP="00211BCA">
      <w:pPr>
        <w:rPr>
          <w:sz w:val="24"/>
          <w:szCs w:val="24"/>
        </w:rPr>
      </w:pPr>
      <w:r w:rsidRPr="00D2345D">
        <w:t>As we have indicated, the sample size for this study is small, with only 21 participants and this limits our power to illuminate the relation between the microbiome and the immune system. Our ability to detect global level patterns for each of the immune measurements that we investigated suggests that the pattern that we did detect is likely quite strong, otherwise, it would be difficult to have statistical significance with these sample sizes. On the other hand, the small sample size limits our ability to detect “local” level patterns</w:t>
      </w:r>
      <w:r w:rsidR="00067355">
        <w:t>;</w:t>
      </w:r>
      <w:r w:rsidRPr="00D2345D">
        <w:t xml:space="preserve"> and forced us to make broader comparisons</w:t>
      </w:r>
      <w:r w:rsidR="00067355">
        <w:t>,</w:t>
      </w:r>
      <w:r w:rsidRPr="00D2345D">
        <w:t xml:space="preserve"> by looking at proportional family level groups and weighted UniFrac measurements that describe “overall” community structure</w:t>
      </w:r>
      <w:r w:rsidR="00067355">
        <w:t>,</w:t>
      </w:r>
      <w:r w:rsidRPr="00D2345D">
        <w:t xml:space="preserve"> rather than specific organisms. We leave it to larger future studies, with larger sample sizes, to generate the statistical power to identify which microorganisms relate to vaccine response, and to test whether this observed pattern persists.</w:t>
      </w:r>
    </w:p>
    <w:p w14:paraId="182BC623" w14:textId="77777777" w:rsidR="00D2345D" w:rsidRPr="00D2345D" w:rsidRDefault="00D2345D" w:rsidP="00211BCA">
      <w:pPr>
        <w:rPr>
          <w:sz w:val="24"/>
          <w:szCs w:val="24"/>
        </w:rPr>
      </w:pPr>
      <w:r w:rsidRPr="00D2345D">
        <w:t>Indeed our approach in this study was exploratory. While we did test a range of hypotheses about immunological parameters that might be related to community structure, any observations of which microbes relate to these patterns are purely descriptive. This study involved many comparisons, comparing hundreds of SVs to eight immune measurements at multiple time-points. We applied several different statistical techniques and agglomerated the community structure to a range of levels to identify where patterns were strongest. We acknowledge that such an approach will necessarily generate spurious discoveries. We contend that while our data supports the hypothesis that the microbiome as a whole relates to vaccine response heterogeneity, our other observations are hypothesis generating. We provide here cohorts of microorganisms that may contain families that positively or negatively associated with vaccine response (Figure 4), allowing future studies to investigate which of these families consistently associated with vaccine response.</w:t>
      </w:r>
    </w:p>
    <w:p w14:paraId="625CE1C3" w14:textId="3FB3DA48" w:rsidR="00D2345D" w:rsidRPr="00D2345D" w:rsidRDefault="00D2345D" w:rsidP="00211BCA">
      <w:pPr>
        <w:rPr>
          <w:sz w:val="24"/>
          <w:szCs w:val="24"/>
        </w:rPr>
      </w:pPr>
      <w:r w:rsidRPr="00D2345D">
        <w:lastRenderedPageBreak/>
        <w:t>A key limitation of the HVTN 096 study overall was that</w:t>
      </w:r>
      <w:r w:rsidR="00514D51">
        <w:t>,</w:t>
      </w:r>
      <w:r w:rsidRPr="00D2345D">
        <w:t xml:space="preserve"> near completion of the clinical trial</w:t>
      </w:r>
      <w:r w:rsidR="00514D51">
        <w:t>,</w:t>
      </w:r>
      <w:r w:rsidRPr="00D2345D">
        <w:t xml:space="preserve"> the NYVAC vaccine was discovered to be contaminated with mycoplasma (Pantaleo et al. In Prep). It appeared that the vaccine generally worked as expected despite this contamination, but also it is likely that the mycoplasma also induced additional immune responses. This contamination could modulate the interaction between the immune system and microbiota in this study in a way that it might not with vaccines in the future</w:t>
      </w:r>
      <w:r w:rsidR="00514D51">
        <w:t>.</w:t>
      </w:r>
    </w:p>
    <w:p w14:paraId="204DE6C2" w14:textId="77777777" w:rsidR="00D2345D" w:rsidRPr="00D2345D" w:rsidRDefault="00D2345D" w:rsidP="00F617A6">
      <w:pPr>
        <w:pStyle w:val="Heading2"/>
        <w:rPr>
          <w:rFonts w:ascii="Times New Roman" w:hAnsi="Times New Roman" w:cs="Times New Roman"/>
          <w:b/>
          <w:bCs/>
          <w:sz w:val="36"/>
          <w:szCs w:val="36"/>
        </w:rPr>
      </w:pPr>
      <w:r w:rsidRPr="00D2345D">
        <w:t xml:space="preserve">Implications of the microbiome for vaccine development </w:t>
      </w:r>
    </w:p>
    <w:p w14:paraId="679A700C" w14:textId="355ACE44" w:rsidR="00D2345D" w:rsidRPr="00D2345D" w:rsidRDefault="00D2345D" w:rsidP="00211BCA">
      <w:pPr>
        <w:rPr>
          <w:sz w:val="24"/>
          <w:szCs w:val="24"/>
        </w:rPr>
      </w:pPr>
      <w:r w:rsidRPr="00D2345D">
        <w:t>Our findings expand the results of previous vaccine and immune literature. While the microbiome has been shown to impact efficacy of oral vaccines</w:t>
      </w:r>
      <w:r w:rsidR="00CC6AD6">
        <w:t xml:space="preserve"> </w:t>
      </w:r>
      <w:r w:rsidR="00CC6AD6">
        <w:fldChar w:fldCharType="begin"/>
      </w:r>
      <w:r w:rsidR="00CC6AD6">
        <w:instrText xml:space="preserve"> ADDIN ZOTERO_ITEM CSL_CITATION {"citationID":"mqUuBX7r","properties":{"formattedCitation":"(Harris et al., 2017; Huda et al., 2014; Lagos et al., 1999)","plainCitation":"(Harris et al., 2017; Huda et al., 2014; Lagos et al., 1999)","noteIndex":0},"citationItems":[{"id":299,"uris":["http://zotero.org/groups/1167044/items/PV9FM27M"],"uri":["http://zotero.org/groups/1167044/items/PV9FM27M"],"itemData":{"id":299,"type":"article-journal","title":"Significant correlation between the infant gut microbiome and rotavirus vaccine response in rural ghana","container-title":"The Journal of Infectious Diseases","page":"34-41","volume":"215","issue":"1","source":"academic.oup.com","DOI":"10.1093/infdis/jiw518","ISSN":"0022-1899","journalAbbreviation":"J Infect Dis","author":[{"family":"Harris","given":"Vanessa C."},{"family":"Armah","given":"George"},{"family":"Fuentes","given":"Susana"},{"family":"Korpela","given":"Katri E."},{"family":"Parashar","given":"Umesh"},{"family":"Victor","given":"John C."},{"family":"Tate","given":"Jacqueline"},{"family":"Weerth","given":"Carolina","non-dropping-particle":"de"},{"family":"Giaquinto","given":"Carlo"},{"family":"Wiersinga","given":"Willem Joost"},{"family":"Lewis","given":"Kristen D. C."},{"family":"Vos","given":"De"},{"family":"M","given":"Willem"}],"issued":{"date-parts":[["2017",1,1]]}}},{"id":3764,"uris":["http://zotero.org/groups/1167044/items/RIE2T7VD"],"uri":["http://zotero.org/groups/1167044/items/RIE2T7VD"],"itemData":{"id":3764,"type":"article-journal","title":"Stool microbiota and vaccine responses of infants","container-title":"Pediatrics","page":"e362-e372","volume":"134","issue":"2","source":"CrossRef","DOI":"10.1542/peds.2013-3937","ISSN":"0031-4005, 1098-4275","language":"en","author":[{"family":"Huda","given":"M. N."},{"family":"Lewis","given":"Z."},{"family":"Kalanetra","given":"K. M."},{"family":"Rashid","given":"M."},{"family":"Ahmad","given":"S. M."},{"family":"Raqib","given":"R."},{"family":"Qadri","given":"F."},{"family":"Underwood","given":"M. A."},{"family":"Mills","given":"D. A."},{"family":"Stephensen","given":"C. B."}],"issued":{"date-parts":[["2014",8,1]]}}},{"id":3735,"uris":["http://zotero.org/groups/1167044/items/IH7QCSBN"],"uri":["http://zotero.org/groups/1167044/items/IH7QCSBN"],"itemData":{"id":3735,"type":"article-journal","title":"Effect of Small Bowel Bacterial Overgrowth on the Immunogenicity of Single-Dose Live Oral Cholera Vaccine CVD 103-HgR","container-title":"The Journal of Infectious Diseases","page":"1709-1712","volume":"180","issue":"5","source":"JSTOR","abstract":"Several live oral vaccines (polio, bovine rotavirus, CVD 103-HgR cholera) are less immunogenic in developing than in industrialized countries. It was hypothesized that proximal small bowel bacterial overgrowth (common in children in less developed countries but rare in industrialized settings) diminishes the vibriocidal antibody response to CVD 103-HgR. In total, 202 fasting Santiago schoolchildren aged 5-9 years had lactulose breath H2 tests to detect proximal small bowel bacteria 1 day before ingesting CVD 103-HgR. Florid small bowel overgrowth was observed in 10 (5.6%) of 178 analyzable children. In children with florid overgrowth, vibriocidal seroconversion differed little from other children (60% vs. 67%), but the geometric mean titer was lower (160 vs. 368; P = .25). By logistic regression, increased peak breath$H_2$at small bowel time points was associated with diminished seroconversion (P = .04), as was the interaction of H₂ value and weight (children &gt;25 kg had lower seroconversion rates among subjects with heaviest overgrowth).","ISSN":"0022-1899","author":[{"family":"Lagos","given":"Rosanna"},{"family":"Fasano","given":"Alessio"},{"family":"Wasserman","given":"Steven S."},{"family":"Prado","given":"Valeria"},{"family":"San Martin","given":"Oriana"},{"family":"Abrego","given":"Paulina"},{"family":"Losonsky","given":"Genevieve A."},{"family":"Alegria","given":"Silvia"},{"family":"Levine","given":"Myron M."}],"issued":{"date-parts":[["1999"]]}}}],"schema":"https://github.com/citation-style-language/schema/raw/master/csl-citation.json"} </w:instrText>
      </w:r>
      <w:r w:rsidR="00CC6AD6">
        <w:fldChar w:fldCharType="separate"/>
      </w:r>
      <w:r w:rsidR="00CC6AD6" w:rsidRPr="00CC6AD6">
        <w:t>(Harris et al., 2017; Huda et al., 2014; Lagos et al., 1999)</w:t>
      </w:r>
      <w:r w:rsidR="00CC6AD6">
        <w:fldChar w:fldCharType="end"/>
      </w:r>
      <w:r w:rsidRPr="00D2345D">
        <w:t xml:space="preserve"> this is the first study, to our knowledge, to demonstrate statistical association between microbiome structure and immunogenicity of an HIV vaccine, delivered intramuscularly rather than orally. Our findings suggest that the mechanism of the microbiome’s effect on vaccine response is likely through more systemic immune processes. This study provides key evidence that some of the variability in the immune response to an HIV vaccine is related, at least in part, to variability in the microbiome. </w:t>
      </w:r>
    </w:p>
    <w:p w14:paraId="0E2CB874" w14:textId="1EF741BF" w:rsidR="00D2345D" w:rsidRDefault="00D2345D" w:rsidP="00F617A6">
      <w:pPr>
        <w:pStyle w:val="Heading1"/>
        <w:numPr>
          <w:ilvl w:val="0"/>
          <w:numId w:val="0"/>
        </w:numPr>
      </w:pPr>
      <w:r>
        <w:lastRenderedPageBreak/>
        <w:t>Figures and tables</w:t>
      </w:r>
      <w:r>
        <w:rPr>
          <w:noProof/>
        </w:rPr>
        <w:drawing>
          <wp:inline distT="0" distB="0" distL="0" distR="0" wp14:anchorId="50ED7981" wp14:editId="415B32D7">
            <wp:extent cx="4953000" cy="4953000"/>
            <wp:effectExtent l="0" t="0" r="0" b="0"/>
            <wp:docPr id="1" name="Picture 1" descr="https://lh3.googleusercontent.com/dvnTPVckowzofuKn9hlmv6BCqbcHIZVC5wzcAbxxdyIaGRkx7ZlhhRuLqC3JzHAjHT6nK6p9HBbE6GZjxt0Svm--ouNzpuUp5p6_a_UHuEiBS4gXUcFAnKaxQ8uWkm1Bew-I4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vnTPVckowzofuKn9hlmv6BCqbcHIZVC5wzcAbxxdyIaGRkx7ZlhhRuLqC3JzHAjHT6nK6p9HBbE6GZjxt0Svm--ouNzpuUp5p6_a_UHuEiBS4gXUcFAnKaxQ8uWkm1Bew-I4Er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r>
        <w:t xml:space="preserve"> </w:t>
      </w:r>
    </w:p>
    <w:p w14:paraId="64ACFB67" w14:textId="77777777" w:rsidR="00D2345D" w:rsidRPr="005F4998" w:rsidRDefault="00D2345D" w:rsidP="005F4998">
      <w:pPr>
        <w:pStyle w:val="Heading3"/>
      </w:pPr>
      <w:r w:rsidRPr="005F4998">
        <w:t xml:space="preserve">Figure 1: Concentration of antibodies over time among study participants whose microbiomes were sequenced. Study participants were vaccinated at four time-points, indicated by blue tick marks, following the regimen described in the methods.  Magnitude of each IgG antibody were measured using the BAMA assay. In all treatments, IgG concentrations increased over the vaccination series reaching a maximum value that varied between participants at the </w:t>
      </w:r>
      <w:r w:rsidR="00067355" w:rsidRPr="005F4998">
        <w:t>6.5-month</w:t>
      </w:r>
      <w:r w:rsidRPr="005F4998">
        <w:t xml:space="preserve"> time point, two weeks after the final vaccination. Each observed IgG concentr</w:t>
      </w:r>
      <w:r w:rsidR="00067355" w:rsidRPr="005F4998">
        <w:t>ation decreased between the 6.5-</w:t>
      </w:r>
      <w:r w:rsidRPr="005F4998">
        <w:t xml:space="preserve">month (primary) and </w:t>
      </w:r>
      <w:r w:rsidR="00067355" w:rsidRPr="005F4998">
        <w:t>12-month</w:t>
      </w:r>
      <w:r w:rsidRPr="005F4998">
        <w:t xml:space="preserve"> (final) time point for all participants, again with this final IgG concentration variable between participants. In the control group, antibodies against gp41 and p24 were present at measura</w:t>
      </w:r>
      <w:r w:rsidR="00067355" w:rsidRPr="005F4998">
        <w:t>ble levels at a</w:t>
      </w:r>
      <w:r w:rsidRPr="005F4998">
        <w:t>l</w:t>
      </w:r>
      <w:r w:rsidR="00067355" w:rsidRPr="005F4998">
        <w:t>l</w:t>
      </w:r>
      <w:r w:rsidRPr="005F4998">
        <w:t xml:space="preserve"> </w:t>
      </w:r>
      <w:r w:rsidR="00067355" w:rsidRPr="005F4998">
        <w:t>time-points</w:t>
      </w:r>
      <w:r w:rsidRPr="005F4998">
        <w:t>; the other antibodies were low or below detection throughout.  </w:t>
      </w:r>
    </w:p>
    <w:p w14:paraId="2E86DFD0" w14:textId="03D60C4D" w:rsidR="00D2345D" w:rsidRDefault="00514D51" w:rsidP="00211BCA">
      <w:r>
        <w:rPr>
          <w:rFonts w:ascii="Arial" w:hAnsi="Arial" w:cs="Arial"/>
          <w:noProof/>
        </w:rPr>
        <w:lastRenderedPageBreak/>
        <w:drawing>
          <wp:inline distT="0" distB="0" distL="0" distR="0" wp14:anchorId="12649ABF" wp14:editId="28861B71">
            <wp:extent cx="5943600" cy="2971800"/>
            <wp:effectExtent l="0" t="0" r="0" b="0"/>
            <wp:docPr id="13" name="Picture 13" descr="https://lh6.googleusercontent.com/6UPB2aUs90e789SV0emJpuUcRVVCgTJqsLmoxUmlfxS9foT9XwJaPLDfNu97lzHxGfbam9KXkoYVnbXqLywbI_9IkgufRl2_Wo0wDFRaMNh1AYrvbDNVQtgqR6BK0Y27ZIm2lG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UPB2aUs90e789SV0emJpuUcRVVCgTJqsLmoxUmlfxS9foT9XwJaPLDfNu97lzHxGfbam9KXkoYVnbXqLywbI_9IkgufRl2_Wo0wDFRaMNh1AYrvbDNVQtgqR6BK0Y27ZIm2lG9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44F500" w14:textId="675726FB" w:rsidR="00D2345D" w:rsidRDefault="00D2345D" w:rsidP="005F4998">
      <w:pPr>
        <w:pStyle w:val="Heading3"/>
      </w:pPr>
      <w:r>
        <w:t>Figure 2. Principal coordinates analysis of weighted UniFrac distance between participants. The first two weighted UniFrac principal coordinates account for 29.1% and 17.2% of variance between participants. Positions of points in subplots are identical. Points in A are color coded by whether gp41 IgG concentration at day 0 is greater than or equal to (high - yellow) or lower than the median (low - blue). B is colo</w:t>
      </w:r>
      <w:r w:rsidR="00514D51">
        <w:t xml:space="preserve">r coded by the </w:t>
      </w:r>
      <w:r>
        <w:t>Con 6 gp120 IgG concentration.</w:t>
      </w:r>
    </w:p>
    <w:p w14:paraId="7B77AA95" w14:textId="77777777" w:rsidR="00D2345D" w:rsidRDefault="00D2345D" w:rsidP="00211BCA"/>
    <w:p w14:paraId="38D80F10" w14:textId="77777777" w:rsidR="00D2345D" w:rsidRDefault="00D2345D" w:rsidP="00211BCA">
      <w:pPr>
        <w:pStyle w:val="NormalWeb"/>
      </w:pPr>
      <w:r>
        <w:rPr>
          <w:noProof/>
        </w:rPr>
        <w:lastRenderedPageBreak/>
        <w:drawing>
          <wp:inline distT="0" distB="0" distL="0" distR="0" wp14:anchorId="62BA27F0" wp14:editId="1A9B071E">
            <wp:extent cx="4914900" cy="4676775"/>
            <wp:effectExtent l="0" t="0" r="0" b="9525"/>
            <wp:docPr id="12" name="Picture 12" descr="https://lh6.googleusercontent.com/R15usFXkJShKq-k6BV0DbOv19b7EIWqJDuMre2DMGSj-uLEbpHx79Ap1zYlrE8ZDlw3RR58cz-LGLguw636l8L-zWhlda7PjDKsH0nE1SDt3I2re4hQ0A5ahzS5BfYRjhkIP5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15usFXkJShKq-k6BV0DbOv19b7EIWqJDuMre2DMGSj-uLEbpHx79Ap1zYlrE8ZDlw3RR58cz-LGLguw636l8L-zWhlda7PjDKsH0nE1SDt3I2re4hQ0A5ahzS5BfYRjhkIP5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4676775"/>
                    </a:xfrm>
                    <a:prstGeom prst="rect">
                      <a:avLst/>
                    </a:prstGeom>
                    <a:noFill/>
                    <a:ln>
                      <a:noFill/>
                    </a:ln>
                  </pic:spPr>
                </pic:pic>
              </a:graphicData>
            </a:graphic>
          </wp:inline>
        </w:drawing>
      </w:r>
    </w:p>
    <w:p w14:paraId="53C6B93F" w14:textId="77777777" w:rsidR="00D2345D" w:rsidRDefault="00D2345D" w:rsidP="00211BCA"/>
    <w:p w14:paraId="09BD76F6" w14:textId="77777777" w:rsidR="00D2345D" w:rsidRDefault="00D2345D" w:rsidP="005F4998">
      <w:pPr>
        <w:pStyle w:val="Heading3"/>
      </w:pPr>
      <w:r>
        <w:t xml:space="preserve">Table 1. Significance values of kernel regression tests, and coefficients and significance values oflogistic regression models. In all cases, antibody concentrations are treated as binomial, median split variables. Kernel regressions ask whether participants that both have high or low concentrations of the antibody or T cell pool of interest have more similar microbiomes (as measured by weighted UniFrac) than participants with dissimilar concentrations of that variable of interest. Binomial GLMs ask whether the weighted UniFrac axis 1 scores (Figure 1) of the participants are statistically related the the variables of interest. Coefficients tell us of the </w:t>
      </w:r>
      <w:r w:rsidR="00067355">
        <w:t xml:space="preserve">direction </w:t>
      </w:r>
      <w:r>
        <w:t xml:space="preserve">and </w:t>
      </w:r>
      <w:r w:rsidR="00067355">
        <w:t xml:space="preserve">strength </w:t>
      </w:r>
      <w:r>
        <w:t>of the association. R</w:t>
      </w:r>
      <w:r w:rsidR="00067355" w:rsidRPr="00067355">
        <w:rPr>
          <w:vertAlign w:val="superscript"/>
        </w:rPr>
        <w:t>2</w:t>
      </w:r>
      <w:r>
        <w:rPr>
          <w:sz w:val="13"/>
          <w:szCs w:val="13"/>
          <w:vertAlign w:val="superscript"/>
        </w:rPr>
        <w:t>2</w:t>
      </w:r>
      <w:r>
        <w:t xml:space="preserve"> </w:t>
      </w:r>
      <w:r w:rsidR="00067355">
        <w:t>indicates</w:t>
      </w:r>
      <w:r>
        <w:t xml:space="preserve"> McFadden’s pseudo R</w:t>
      </w:r>
      <w:r w:rsidR="00067355" w:rsidRPr="00067355">
        <w:rPr>
          <w:vertAlign w:val="superscript"/>
        </w:rPr>
        <w:t>2</w:t>
      </w:r>
      <w:r>
        <w:rPr>
          <w:sz w:val="13"/>
          <w:szCs w:val="13"/>
          <w:vertAlign w:val="superscript"/>
        </w:rPr>
        <w:t>2</w:t>
      </w:r>
      <w:r>
        <w:t xml:space="preserve">, </w:t>
      </w:r>
      <w:r w:rsidR="00067355">
        <w:t>p-values are calculated by permutation (Kernel regression) and directly (weighted Unifrac Regression)</w:t>
      </w:r>
      <w:r>
        <w:t>, and q-values are calculated using the bioconductor q-value package (Storey, 2002). Yellow highlighting indicates statistically significant P (&lt;0.05) and Q (&lt;0.20) values. Regression coefficients corresponding to statistically significant p and q-value values are color-coded according to their sign.</w:t>
      </w:r>
    </w:p>
    <w:p w14:paraId="44898360" w14:textId="77777777" w:rsidR="00D2345D" w:rsidRDefault="00D2345D" w:rsidP="00211BCA">
      <w:pPr>
        <w:pStyle w:val="NormalWeb"/>
      </w:pPr>
      <w:r>
        <w:rPr>
          <w:noProof/>
        </w:rPr>
        <w:lastRenderedPageBreak/>
        <w:drawing>
          <wp:inline distT="0" distB="0" distL="0" distR="0" wp14:anchorId="486CD713" wp14:editId="1283D131">
            <wp:extent cx="5219700" cy="2990850"/>
            <wp:effectExtent l="0" t="0" r="0" b="0"/>
            <wp:docPr id="11" name="Picture 11" descr="https://lh5.googleusercontent.com/mN2KOUn1oMne4OTDQqSAOlOPr-912RRYly2ivpbyZv8Ls49o9zORScMiELSWaR88uTJOozdJH2bEgNsGk3oeWLyIbVUfkzLtETHVF4597ouji5gg7r1Lyej0OjwzzTFIIKOMWF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N2KOUn1oMne4OTDQqSAOlOPr-912RRYly2ivpbyZv8Ls49o9zORScMiELSWaR88uTJOozdJH2bEgNsGk3oeWLyIbVUfkzLtETHVF4597ouji5gg7r1Lyej0OjwzzTFIIKOMWFN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14:paraId="6A81C2B4" w14:textId="77777777" w:rsidR="00D2345D" w:rsidRDefault="00D2345D" w:rsidP="005F4998">
      <w:pPr>
        <w:pStyle w:val="Heading3"/>
      </w:pPr>
      <w:r>
        <w:t xml:space="preserve">Figure 3. Stacked bar plots showing relative abundance of taxonomic groups composing participants’ microbiota. In all cases participants are ordered from left to right according to where their microbiota falls along weighted UniFrac, PCoA axis 1 (Figure 2). </w:t>
      </w:r>
      <w:r>
        <w:rPr>
          <w:b/>
          <w:bCs/>
        </w:rPr>
        <w:t>A</w:t>
      </w:r>
      <w:r>
        <w:t xml:space="preserve"> All taxa at phylum level. </w:t>
      </w:r>
      <w:r>
        <w:rPr>
          <w:b/>
          <w:bCs/>
        </w:rPr>
        <w:t>B</w:t>
      </w:r>
      <w:r>
        <w:t xml:space="preserve">. All families within Order Clostridiales, all of which fall within Class Clostridia. </w:t>
      </w:r>
      <w:r>
        <w:rPr>
          <w:b/>
          <w:bCs/>
        </w:rPr>
        <w:t>C.</w:t>
      </w:r>
      <w:r>
        <w:t xml:space="preserve"> All families within Order Bactereoidales, all of which are in the Class Bacteroidetes. </w:t>
      </w:r>
      <w:r>
        <w:rPr>
          <w:b/>
          <w:bCs/>
        </w:rPr>
        <w:t>D</w:t>
      </w:r>
      <w:r>
        <w:t>. Genera within the family Clostridiales Incertae Sedis XI.</w:t>
      </w:r>
    </w:p>
    <w:p w14:paraId="0F176283" w14:textId="77777777" w:rsidR="00D2345D" w:rsidRDefault="00D2345D" w:rsidP="00211BCA"/>
    <w:p w14:paraId="0F2AFD61" w14:textId="77777777" w:rsidR="00D2345D" w:rsidRDefault="00D2345D" w:rsidP="00211BCA">
      <w:pPr>
        <w:pStyle w:val="NormalWeb"/>
      </w:pPr>
      <w:r>
        <w:rPr>
          <w:noProof/>
        </w:rPr>
        <w:lastRenderedPageBreak/>
        <w:drawing>
          <wp:inline distT="0" distB="0" distL="0" distR="0" wp14:anchorId="65FCFDBF" wp14:editId="359F6406">
            <wp:extent cx="5943600" cy="6200775"/>
            <wp:effectExtent l="0" t="0" r="0" b="9525"/>
            <wp:docPr id="10" name="Picture 10" descr="https://lh6.googleusercontent.com/7uDpXNQhTmHeOHmqJOd9oig9bG_JVBaYdu6TtLQ7Fd5XL_ykF1WpfzguSCh75Ux2CgmDSJtugNqqGWXxTJdlk1aS0BxuJVBm6XnRVF1m_1klcGoexpFkOGVjdYYJK6np62wPiD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uDpXNQhTmHeOHmqJOd9oig9bG_JVBaYdu6TtLQ7Fd5XL_ykF1WpfzguSCh75Ux2CgmDSJtugNqqGWXxTJdlk1aS0BxuJVBm6XnRVF1m_1klcGoexpFkOGVjdYYJK6np62wPiDA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00775"/>
                    </a:xfrm>
                    <a:prstGeom prst="rect">
                      <a:avLst/>
                    </a:prstGeom>
                    <a:noFill/>
                    <a:ln>
                      <a:noFill/>
                    </a:ln>
                  </pic:spPr>
                </pic:pic>
              </a:graphicData>
            </a:graphic>
          </wp:inline>
        </w:drawing>
      </w:r>
    </w:p>
    <w:p w14:paraId="7F473825" w14:textId="77777777" w:rsidR="00D2345D" w:rsidRDefault="00D2345D" w:rsidP="005F4998">
      <w:pPr>
        <w:pStyle w:val="Heading3"/>
      </w:pPr>
      <w:r>
        <w:t>Figure 4. Heat</w:t>
      </w:r>
      <w:r w:rsidR="00067355">
        <w:t>-</w:t>
      </w:r>
      <w:r>
        <w:t xml:space="preserve">map of </w:t>
      </w:r>
      <w:r w:rsidR="00067355">
        <w:t>Φ (Lovell et al. 2015)</w:t>
      </w:r>
      <w:r>
        <w:t xml:space="preserve">, a measure of proportionality between different family level groups and a summary of which of those families appear to correlate in a statistically meaningful way with gp41 and gp120 response.  In the upper panel (heatmap), each row and column are a family level taxon. Redder cells indicate lower </w:t>
      </w:r>
      <w:r w:rsidR="00067355">
        <w:t>Φ</w:t>
      </w:r>
      <w:r>
        <w:t xml:space="preserve"> scores, which demonstrate higher statistical association between the pair of families. The dots in the lower panel (dot-grid) indicate IgG binding antibodies specific to each </w:t>
      </w:r>
      <w:r w:rsidR="00067355">
        <w:t>antigen</w:t>
      </w:r>
      <w:r>
        <w:t xml:space="preserve"> at each time points (y-axis) associate in a statistically significant way with each family level taxon </w:t>
      </w:r>
      <w:r>
        <w:lastRenderedPageBreak/>
        <w:t xml:space="preserve">(x-axis). Blue dots indicate that a family level group is positively associated with a particular antibody response at a given time point. </w:t>
      </w:r>
    </w:p>
    <w:p w14:paraId="79BC05A8" w14:textId="5F7DB130" w:rsidR="00D2345D" w:rsidRDefault="00D2345D" w:rsidP="00F617A6">
      <w:pPr>
        <w:pStyle w:val="Heading1"/>
      </w:pPr>
      <w:r>
        <w:t>Supplemental figures and tables</w:t>
      </w:r>
      <w:r w:rsidR="007B4C60">
        <w:t xml:space="preserve"> and data</w:t>
      </w:r>
      <w:r>
        <w:rPr>
          <w:noProof/>
        </w:rPr>
        <w:drawing>
          <wp:inline distT="0" distB="0" distL="0" distR="0" wp14:anchorId="3ECD19A4" wp14:editId="5D5D6BCA">
            <wp:extent cx="5019675" cy="4619625"/>
            <wp:effectExtent l="0" t="0" r="9525" b="9525"/>
            <wp:docPr id="9" name="Picture 9" descr="https://lh6.googleusercontent.com/7XPHDLugzlN3FHtBQLc0zQNQ4PEcmYN7ymZscoOM3o02UeY2sC8HMaV-0ugU54yJeyZvsfR3JiNRI_Ugz2DUSmSsKXNc9Wd56wUcsGvMWlnbeI6JZjR6VmHs3hecq0VKmIirb5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7XPHDLugzlN3FHtBQLc0zQNQ4PEcmYN7ymZscoOM3o02UeY2sC8HMaV-0ugU54yJeyZvsfR3JiNRI_Ugz2DUSmSsKXNc9Wd56wUcsGvMWlnbeI6JZjR6VmHs3hecq0VKmIirb5q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4619625"/>
                    </a:xfrm>
                    <a:prstGeom prst="rect">
                      <a:avLst/>
                    </a:prstGeom>
                    <a:noFill/>
                    <a:ln>
                      <a:noFill/>
                    </a:ln>
                  </pic:spPr>
                </pic:pic>
              </a:graphicData>
            </a:graphic>
          </wp:inline>
        </w:drawing>
      </w:r>
    </w:p>
    <w:p w14:paraId="76FAE0E4" w14:textId="627685DB" w:rsidR="00D2345D" w:rsidRDefault="00D2345D" w:rsidP="005F4998">
      <w:pPr>
        <w:pStyle w:val="Heading3"/>
      </w:pPr>
      <w:r>
        <w:t xml:space="preserve">Table S1.  Significance values of kernel regression tests, and coefficients and significance values of binomial general linear models. This table mirrors Table 1, with the exception that here, antibody concentrations are treated as continuous, box-cox transformed variables, rather than binomial, median split variables. Kernel regressions ask whether participants that both have high or low concentrations of the antibody or T cell pool of interest have more similar microbiomes (as measured by weighted UniFrac) than participants with dissimilar concentrations of that variable of interest. Binomial GLMs ask whether the weighted UniFrac axis 1 scores (Figure 1) of the participants are statistically related the variables of interest. Coefficients </w:t>
      </w:r>
      <w:r w:rsidR="00571C8E">
        <w:t xml:space="preserve">show </w:t>
      </w:r>
      <w:r>
        <w:t>the strength and direction of the association. R</w:t>
      </w:r>
      <w:r w:rsidRPr="00067355">
        <w:rPr>
          <w:vertAlign w:val="superscript"/>
        </w:rPr>
        <w:t>2</w:t>
      </w:r>
      <w:r>
        <w:t xml:space="preserve"> inidates McFadden’s pseudo R</w:t>
      </w:r>
      <w:r w:rsidRPr="00067355">
        <w:rPr>
          <w:vertAlign w:val="superscript"/>
        </w:rPr>
        <w:t>2</w:t>
      </w:r>
      <w:r>
        <w:t xml:space="preserve">, p-values the significance, and q-values are calculated using the bioconductor q-value package (Storey, 2002). Yellow highlighting indicates statistically significant P (&lt;0.05) and Q (&lt;0.20) values. Regressions </w:t>
      </w:r>
      <w:r>
        <w:lastRenderedPageBreak/>
        <w:t>coefficients corresponding to statistically significant p and q-value values are color-coded according to their sign.</w:t>
      </w:r>
    </w:p>
    <w:p w14:paraId="119289E9" w14:textId="77777777" w:rsidR="00D2345D" w:rsidRDefault="00D2345D" w:rsidP="00211BCA">
      <w:pPr>
        <w:pStyle w:val="NormalWeb"/>
      </w:pPr>
      <w:r>
        <w:rPr>
          <w:noProof/>
        </w:rPr>
        <w:drawing>
          <wp:inline distT="0" distB="0" distL="0" distR="0" wp14:anchorId="63FCFB99" wp14:editId="7B4D06E7">
            <wp:extent cx="5943600" cy="5372100"/>
            <wp:effectExtent l="0" t="0" r="0" b="0"/>
            <wp:docPr id="8" name="Picture 8" descr="https://lh3.googleusercontent.com/3AXXCE-C8qb37b7KL817tMjcsZevS49U4n2dJW-B_paPPVnRG24q37aYHH2H5yy3DQJaxabZ-GtAbSUMdyBMP8djec1vEzCUH3s8SjvBQ8b8Mcp68e7atZIkRQGY-PKq3YfauN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AXXCE-C8qb37b7KL817tMjcsZevS49U4n2dJW-B_paPPVnRG24q37aYHH2H5yy3DQJaxabZ-GtAbSUMdyBMP8djec1vEzCUH3s8SjvBQ8b8Mcp68e7atZIkRQGY-PKq3YfauNQ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3DC16585" w14:textId="77777777" w:rsidR="00D2345D" w:rsidRDefault="00D2345D" w:rsidP="005F4998">
      <w:pPr>
        <w:pStyle w:val="Heading3"/>
      </w:pPr>
      <w:r>
        <w:t xml:space="preserve">Table S2. P-values of logistic regressions between UniFrac PCoA components 1-10 and the median split transformed concentrations of the antibodies described in Table 1. </w:t>
      </w:r>
    </w:p>
    <w:p w14:paraId="3F6069CC" w14:textId="77777777" w:rsidR="00D2345D" w:rsidRDefault="00D2345D" w:rsidP="00211BCA"/>
    <w:p w14:paraId="2F444F43" w14:textId="77777777" w:rsidR="007B4C60" w:rsidRPr="00401F49" w:rsidRDefault="007B4C60" w:rsidP="00401F49"/>
    <w:p w14:paraId="5909D9B5" w14:textId="77777777" w:rsidR="00D2345D" w:rsidRDefault="00D2345D" w:rsidP="005F4998">
      <w:r>
        <w:rPr>
          <w:noProof/>
        </w:rPr>
        <w:lastRenderedPageBreak/>
        <w:drawing>
          <wp:inline distT="0" distB="0" distL="0" distR="0" wp14:anchorId="550EC274" wp14:editId="3246C3C5">
            <wp:extent cx="5943600" cy="5943600"/>
            <wp:effectExtent l="0" t="0" r="0" b="0"/>
            <wp:docPr id="7" name="Picture 7" descr="https://lh3.googleusercontent.com/sO2MElsgc9ge4bv28VRP1Qn2rpcNoyCnXuiRUARKcHMggZi0fmWL5qbUHAo3ybKo9etYZISmxWrs5FyM0zjRIrex6CvwZ27hdbQlHT74Qek92QpLjqzk2aETT0drurJschuOVj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O2MElsgc9ge4bv28VRP1Qn2rpcNoyCnXuiRUARKcHMggZi0fmWL5qbUHAo3ybKo9etYZISmxWrs5FyM0zjRIrex6CvwZ27hdbQlHT74Qek92QpLjqzk2aETT0drurJschuOVj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9F1EB37" w14:textId="77777777" w:rsidR="00D2345D" w:rsidRDefault="00D2345D" w:rsidP="005F4998">
      <w:pPr>
        <w:pStyle w:val="Heading3"/>
      </w:pPr>
      <w:r>
        <w:t>Figure S1A. Concentration of IgG binding antibodies over time among all study partic</w:t>
      </w:r>
      <w:r w:rsidR="00067355">
        <w:t>ipants, including those without</w:t>
      </w:r>
      <w:r>
        <w:t> microbiota sequencing. This figure otherwise mirrors Figure 1.</w:t>
      </w:r>
    </w:p>
    <w:p w14:paraId="00D97D7E" w14:textId="77777777" w:rsidR="00D2345D" w:rsidRDefault="00D2345D" w:rsidP="00211BCA"/>
    <w:p w14:paraId="32AFFC74" w14:textId="77777777" w:rsidR="00D2345D" w:rsidRDefault="00D2345D" w:rsidP="00211BCA">
      <w:pPr>
        <w:pStyle w:val="NormalWeb"/>
      </w:pPr>
      <w:r>
        <w:rPr>
          <w:noProof/>
        </w:rPr>
        <w:lastRenderedPageBreak/>
        <w:drawing>
          <wp:inline distT="0" distB="0" distL="0" distR="0" wp14:anchorId="5FD1180F" wp14:editId="7394D9D4">
            <wp:extent cx="5943600" cy="5943600"/>
            <wp:effectExtent l="0" t="0" r="0" b="0"/>
            <wp:docPr id="6" name="Picture 6" descr="https://lh6.googleusercontent.com/af3OlWMpLszOfW8U-zQcxiqjcYGgOlrpdy2txEQO_EM8HAPSHS4NK8TfJ2LENA5QsWPKr_TOdKI6BhlWCCzynKzL8vJnX6uEOX0PvXLY5nEW7G86GPj5JjMbmNpg8_LLwaeeTg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f3OlWMpLszOfW8U-zQcxiqjcYGgOlrpdy2txEQO_EM8HAPSHS4NK8TfJ2LENA5QsWPKr_TOdKI6BhlWCCzynKzL8vJnX6uEOX0PvXLY5nEW7G86GPj5JjMbmNpg8_LLwaeeTgF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474B207" w14:textId="50F7F069" w:rsidR="00D2345D" w:rsidRDefault="00D2345D" w:rsidP="005F4998">
      <w:pPr>
        <w:pStyle w:val="Heading3"/>
      </w:pPr>
      <w:r>
        <w:t xml:space="preserve">Figure </w:t>
      </w:r>
      <w:r w:rsidR="005F4998">
        <w:t xml:space="preserve">S1B. </w:t>
      </w:r>
      <w:r>
        <w:t>Concentration of IgA binding antibodies, and Env specific CD4+ Helper cells for all study participants</w:t>
      </w:r>
    </w:p>
    <w:p w14:paraId="2BDE8B40" w14:textId="77777777" w:rsidR="00D2345D" w:rsidRDefault="00D2345D" w:rsidP="00211BCA">
      <w:pPr>
        <w:pStyle w:val="NormalWeb"/>
      </w:pPr>
      <w:r>
        <w:rPr>
          <w:noProof/>
        </w:rPr>
        <w:lastRenderedPageBreak/>
        <w:drawing>
          <wp:inline distT="0" distB="0" distL="0" distR="0" wp14:anchorId="307586D0" wp14:editId="27C1A983">
            <wp:extent cx="5943600" cy="7924800"/>
            <wp:effectExtent l="0" t="0" r="0" b="0"/>
            <wp:docPr id="5" name="Picture 5" descr="https://lh4.googleusercontent.com/BY8g_WdtpclbTUkZPQZXB_xz9ivBigcRBFOVQpIu1pe7Zmp14-awr--H-6jAT7Z5xaLXm2_XIDd4Lol9BDAAIyGh7sk5tamBqf6BPms24tCi7dmgMf2BQpAeilVaq5OJXER5QM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Y8g_WdtpclbTUkZPQZXB_xz9ivBigcRBFOVQpIu1pe7Zmp14-awr--H-6jAT7Z5xaLXm2_XIDd4Lol9BDAAIyGh7sk5tamBqf6BPms24tCi7dmgMf2BQpAeilVaq5OJXER5QM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390EA23" w14:textId="77777777" w:rsidR="00D2345D" w:rsidRDefault="00D2345D" w:rsidP="00211BCA"/>
    <w:p w14:paraId="3972EE4F" w14:textId="77777777" w:rsidR="00D2345D" w:rsidRDefault="00D2345D" w:rsidP="005F4998">
      <w:pPr>
        <w:pStyle w:val="Heading3"/>
      </w:pPr>
      <w:r>
        <w:t xml:space="preserve">Figure S2. Kernel regression p-values of using kernels calculated from Jensen-Shannon distance matrices calculated from SV tables that have been agglomerated to different (Phylum through species level) taxonomic levels. Squares indicate omnibus </w:t>
      </w:r>
      <w:r w:rsidR="00067355">
        <w:t>p</w:t>
      </w:r>
      <w:r>
        <w:t>-values, which indicate whether there is a statistically meaningful hit at any taxonomic level, adjusting for multiple comparisons (Zhao et al., 2015). Triangles indicate kernel regression p-values for weighted UniFrac scores, and are identical to ones reported in Tables 1 and S1.</w:t>
      </w:r>
    </w:p>
    <w:p w14:paraId="092D27A1" w14:textId="77777777" w:rsidR="00D2345D" w:rsidRDefault="00D2345D" w:rsidP="00211BCA"/>
    <w:p w14:paraId="2455FBE5" w14:textId="77777777" w:rsidR="00D2345D" w:rsidRDefault="00D2345D" w:rsidP="00211BCA">
      <w:pPr>
        <w:pStyle w:val="NormalWeb"/>
      </w:pPr>
      <w:r>
        <w:lastRenderedPageBreak/>
        <w:t>A</w:t>
      </w:r>
      <w:r>
        <w:rPr>
          <w:noProof/>
        </w:rPr>
        <w:drawing>
          <wp:inline distT="0" distB="0" distL="0" distR="0" wp14:anchorId="4B90D929" wp14:editId="0EE7DA2E">
            <wp:extent cx="5943600" cy="5943600"/>
            <wp:effectExtent l="0" t="0" r="0" b="0"/>
            <wp:docPr id="4" name="Picture 4" descr="https://lh6.googleusercontent.com/Sq2i-NRxcDGB68TBmFVWzvQ98Os3cMv-AZaubtT9ZVx4Pwk-PBsqCys88X3jAEvj003eOwfZqA1jXlV66c2p7SYxbKX0gZbQfwaRJ3nfP428tjA-n_zVdBl-chKyrPaZkit3x_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Sq2i-NRxcDGB68TBmFVWzvQ98Os3cMv-AZaubtT9ZVx4Pwk-PBsqCys88X3jAEvj003eOwfZqA1jXlV66c2p7SYxbKX0gZbQfwaRJ3nfP428tjA-n_zVdBl-chKyrPaZkit3x_1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AD40B5" w14:textId="77777777" w:rsidR="00D2345D" w:rsidRDefault="00D2345D" w:rsidP="00211BCA">
      <w:pPr>
        <w:pStyle w:val="NormalWeb"/>
      </w:pPr>
      <w:r>
        <w:lastRenderedPageBreak/>
        <w:t xml:space="preserve">B </w:t>
      </w:r>
      <w:r>
        <w:rPr>
          <w:noProof/>
        </w:rPr>
        <w:drawing>
          <wp:inline distT="0" distB="0" distL="0" distR="0" wp14:anchorId="6FA9D9D8" wp14:editId="62172A14">
            <wp:extent cx="5943600" cy="5943600"/>
            <wp:effectExtent l="0" t="0" r="0" b="0"/>
            <wp:docPr id="3" name="Picture 3" descr="https://lh3.googleusercontent.com/HOtcBhud9DlWHn2lUVLq340MrPzbVjpfMvVUWvWIwhn78rLH3wd9oXNCHEal--kTiszGa_iWZqSnVqOsSDRr4hnMzxAfQfbqSW-V_9w6hEVwbtnZ6oz2DQERBjtYgxrQgCR-_I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OtcBhud9DlWHn2lUVLq340MrPzbVjpfMvVUWvWIwhn78rLH3wd9oXNCHEal--kTiszGa_iWZqSnVqOsSDRr4hnMzxAfQfbqSW-V_9w6hEVwbtnZ6oz2DQERBjtYgxrQgCR-_Ih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98224A" w14:textId="77777777" w:rsidR="00D2345D" w:rsidRDefault="00D2345D" w:rsidP="00211BCA"/>
    <w:p w14:paraId="6D68561C" w14:textId="77777777" w:rsidR="00D2345D" w:rsidRDefault="00D2345D" w:rsidP="005F4998">
      <w:pPr>
        <w:pStyle w:val="Heading3"/>
      </w:pPr>
      <w:r>
        <w:t xml:space="preserve">Figure S3. Statistical significance of regressions of taxa agglomerated at a range of taxonomic levels, against each antibody found to relate to community structure in Tables 1 and S1. We report both </w:t>
      </w:r>
      <w:r w:rsidRPr="005F4998">
        <w:rPr>
          <w:b/>
        </w:rPr>
        <w:t>A</w:t>
      </w:r>
      <w:r>
        <w:t xml:space="preserve"> p-values and </w:t>
      </w:r>
      <w:r w:rsidRPr="005F4998">
        <w:rPr>
          <w:b/>
        </w:rPr>
        <w:t>B</w:t>
      </w:r>
      <w:r>
        <w:t xml:space="preserve"> q-values for each. Q-values are calculated from p-values at each antibody-taxonomic level combination. </w:t>
      </w:r>
    </w:p>
    <w:p w14:paraId="56BC5938" w14:textId="77777777" w:rsidR="00D2345D" w:rsidRDefault="00D2345D" w:rsidP="00211BCA"/>
    <w:p w14:paraId="12B7ACA9" w14:textId="77777777" w:rsidR="00D2345D" w:rsidRDefault="00D2345D" w:rsidP="00211BCA">
      <w:pPr>
        <w:pStyle w:val="NormalWeb"/>
      </w:pPr>
      <w:r>
        <w:rPr>
          <w:noProof/>
        </w:rPr>
        <w:lastRenderedPageBreak/>
        <w:drawing>
          <wp:inline distT="0" distB="0" distL="0" distR="0" wp14:anchorId="2DB62FC9" wp14:editId="415408C9">
            <wp:extent cx="5943600" cy="7924800"/>
            <wp:effectExtent l="0" t="0" r="0" b="0"/>
            <wp:docPr id="2" name="Picture 2" descr="https://lh6.googleusercontent.com/clCZv9tpvL47mM49nerzBCHopxbzLGwi5WD1RQjLzINvP9J7bKYH6VDOokuMHW0mEbG5vqH3_2059mA-MpLAsXvWCPOzPGEKu1MHH9nIsdGT9yc0nMPzpvXp1_10oeURnqI0gM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clCZv9tpvL47mM49nerzBCHopxbzLGwi5WD1RQjLzINvP9J7bKYH6VDOokuMHW0mEbG5vqH3_2059mA-MpLAsXvWCPOzPGEKu1MHH9nIsdGT9yc0nMPzpvXp1_10oeURnqI0gMF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2B6797C7" w14:textId="02CF62CB" w:rsidR="00D2345D" w:rsidRDefault="00D2345D" w:rsidP="005F4998">
      <w:pPr>
        <w:pStyle w:val="Heading3"/>
      </w:pPr>
      <w:r>
        <w:lastRenderedPageBreak/>
        <w:t>Figure S4. Coefficients (y-axis) of general linear models relating family level taxa (x-axis) to antibody concentrations for which there was at least one statistically significant hit in Figure S3. Error bars represent two standard errors of the coefficient. Colors and shapes indicate whether models have p-values &lt; 0.05 and q-values &lt; 0.2, respectively. Only taxa involved in at least one statistically significant associations are shown. These same families are indicated with dots in Figure 4 when they are statistically significant.</w:t>
      </w:r>
    </w:p>
    <w:p w14:paraId="690DC2E3" w14:textId="4FFA60B3" w:rsidR="007B4C60" w:rsidRDefault="007B4C60" w:rsidP="007B4C60"/>
    <w:p w14:paraId="1F08442B" w14:textId="77777777" w:rsidR="007B4C60" w:rsidRDefault="007B4C60" w:rsidP="007B4C60">
      <w:pPr>
        <w:pStyle w:val="Heading3"/>
      </w:pPr>
      <w:r>
        <w:t>Supplementary Data S1.  Tables showing counts of agglomerated SVs to different taxonomic levels as described in the supplement.</w:t>
      </w:r>
    </w:p>
    <w:p w14:paraId="1B2BF845" w14:textId="77777777" w:rsidR="007B4C60" w:rsidRDefault="007B4C60" w:rsidP="007B4C60">
      <w:r>
        <w:t>Supplementary Data S2. Taxonomic information about each agglomerated taxon shown in Table S4. The Kingdom-Species columns indicate consensus taxonomy of those OTUs as per the DADA2 classifier. Sequence indicates the consensus sequence from the DADA2 classifier only if this taxonomic group contains only one sequence. “oldGroups” indicate which species level SVs, as per the species table in this directory are contained in the agglomerated taxon. “tag” indicates the name used for analysis and in the tables indicated in Supplementary Data s1.</w:t>
      </w:r>
    </w:p>
    <w:p w14:paraId="00E02FF5" w14:textId="77777777" w:rsidR="007B4C60" w:rsidRDefault="007B4C60" w:rsidP="007B4C60">
      <w:pPr>
        <w:pStyle w:val="NormalWeb"/>
      </w:pPr>
      <w:r>
        <w:t>{separate file, AllLocalTest.csv}</w:t>
      </w:r>
    </w:p>
    <w:p w14:paraId="339C8905" w14:textId="77777777" w:rsidR="007B4C60" w:rsidRDefault="007B4C60" w:rsidP="007B4C60">
      <w:pPr>
        <w:pStyle w:val="Heading3"/>
      </w:pPr>
      <w:r>
        <w:t>Supplemental Data S3. Results of binomial and gaussian regressions of family, genus, and species-level groups against concentrations of antibodies that were found to be statistically significant at time-points in Tables 1 and S1. “taxLevels” indicates the taxonomic level to which the SVs were agglomerated before the analysis was carried out (this level is “Species” if no agglomeration. “ntaxa” indicates the number of agglomerated taxa. Test indicates whether this was a logistic regression in which the immune variable was treated as median split (“binomial”) or a least squares type regression in which box-cox transformed variables were treated as continuous and normally distributed. “antigen” indicates the target of the measured IgG antibody. “Taxon” indicates the consensus name of the agglomerated taxon, as defined in table SX. “Intercept” is the y intercept of the regression. “clr_estimate” is the slope of the regression. The following columns indicate the standard error, p value and q value of that regression. Q values are calculated for each antigen as described in the Supplement. Kingdom-Species columns indicate the shared taxonomy of the members of that taxonomic group.</w:t>
      </w:r>
    </w:p>
    <w:p w14:paraId="535C8287" w14:textId="77777777" w:rsidR="007B4C60" w:rsidRPr="007B4C60" w:rsidRDefault="007B4C60" w:rsidP="007B4C60"/>
    <w:p w14:paraId="4036729A" w14:textId="77777777" w:rsidR="00D2345D" w:rsidRDefault="00D2345D" w:rsidP="00211BCA"/>
    <w:p w14:paraId="77696A86" w14:textId="5D7FC338" w:rsidR="00D2345D" w:rsidRDefault="00D2345D" w:rsidP="00F617A6">
      <w:pPr>
        <w:pStyle w:val="Heading1"/>
      </w:pPr>
      <w:r>
        <w:lastRenderedPageBreak/>
        <w:t>Supplemental methods</w:t>
      </w:r>
    </w:p>
    <w:p w14:paraId="222897B5" w14:textId="77777777" w:rsidR="00D2345D" w:rsidRDefault="00D2345D" w:rsidP="00F617A6">
      <w:pPr>
        <w:pStyle w:val="Heading2"/>
      </w:pPr>
      <w:r>
        <w:t>Vaccine Details</w:t>
      </w:r>
    </w:p>
    <w:p w14:paraId="58C22ADB" w14:textId="56684E27" w:rsidR="00D2345D" w:rsidRDefault="00D2345D" w:rsidP="00211BCA">
      <w:r>
        <w:t>NYVAC is a combination of two attenuated vaccinia viruses, one NYVAC-HIV-PT1 contained DNA expressing HIV clade C ZM96 gp140 and the other NYVAC-HIV-PT4 contained DNA expressing clade C ZM96 Gag, ZM96 gp120 and a CN54 Pol-Nef fusion construct and two clade C gp120 proteins with MF59 adjuvant (Tartaglia et al., 1992). NYVAC was administered intramuscularly as 1mL, each at a concentration of 5 x 10</w:t>
      </w:r>
      <w:r>
        <w:rPr>
          <w:sz w:val="13"/>
          <w:szCs w:val="13"/>
          <w:vertAlign w:val="superscript"/>
        </w:rPr>
        <w:t>6</w:t>
      </w:r>
      <w:r>
        <w:t xml:space="preserve"> PFU/mL, of NYVAC-HIV-PT1 and NYVAC-HIV-PT4.  The trivalent bare DNA plasmid, administered at a volume of 1mL and concentra</w:t>
      </w:r>
      <w:r w:rsidR="00067355">
        <w:t>tion 4mg/mL, also expressed the</w:t>
      </w:r>
      <w:r>
        <w:t xml:space="preserve"> clade C ZM96 Gag, ZM96 gp120 and </w:t>
      </w:r>
      <w:r w:rsidR="00067355">
        <w:t xml:space="preserve">a CN54 Pol-Nef fusion construct. It </w:t>
      </w:r>
      <w:r>
        <w:t>was developed at the Dale and Betty Bumpers Vaccine Research Center (VRC), National Institute of Allergy and Infectious Diseases (NIAID), National Institutes of Health (NIH) (Bethesda, MD, USA).  </w:t>
      </w:r>
      <w:r w:rsidR="00067355">
        <w:t>AIDSVAX</w:t>
      </w:r>
      <w:r w:rsidR="00067355">
        <w:rPr>
          <w:rFonts w:ascii="MS Gothic" w:eastAsia="MS Gothic" w:hAnsi="MS Gothic" w:cs="MS Gothic" w:hint="eastAsia"/>
          <w:sz w:val="13"/>
          <w:szCs w:val="13"/>
          <w:vertAlign w:val="superscript"/>
        </w:rPr>
        <w:t>Ⓡ</w:t>
      </w:r>
      <w:r w:rsidR="00067355">
        <w:t>,</w:t>
      </w:r>
      <w:r>
        <w:t xml:space="preserve"> is a bivalent gp120 glycoprotein, containing sequences of the MN and A244 HIV-1 strains, currently developed by Global Solutions for Infectious Diseases. It is administered intramuscularly at a volume of 1ml and concentration of 300 mcg/ml along with 600mcg Alum/ml </w:t>
      </w:r>
      <w:r w:rsidR="00067355">
        <w:t>Aluminum</w:t>
      </w:r>
      <w:r>
        <w:t xml:space="preserve"> hydroxide gel adjuvant.</w:t>
      </w:r>
    </w:p>
    <w:p w14:paraId="24EE4CAC" w14:textId="5F5C8CE1" w:rsidR="00D2345D" w:rsidRDefault="00D2345D" w:rsidP="00F617A6">
      <w:pPr>
        <w:pStyle w:val="Heading2"/>
      </w:pPr>
      <w:r>
        <w:t>Microbial DNA Extraction</w:t>
      </w:r>
    </w:p>
    <w:p w14:paraId="65002AF0" w14:textId="77777777" w:rsidR="00D2345D" w:rsidRDefault="00D2345D" w:rsidP="00211BCA">
      <w:r>
        <w:t>Rectal secretion samples were extracted along with the antibody samples from from rectal wecks as described previously (Pantaleo et al. In Prep). Briefly, weck cell sponges rinsed three times with extraction buffer (1X PBS (Invitrogen 10010-023), Protease inhibitor (539131_, and 0.25% bovine syrum albumen (Sigma A8412)) which was removed from the filter after each rinse by centrifugation on a spin-X filter at 16000 x g.  We used the MoBio Bacteremia kit to extract DNA from the rinse solution.</w:t>
      </w:r>
    </w:p>
    <w:p w14:paraId="527C2BD4" w14:textId="77777777" w:rsidR="00D2345D" w:rsidRDefault="00D2345D" w:rsidP="00F617A6">
      <w:pPr>
        <w:pStyle w:val="Heading2"/>
      </w:pPr>
      <w:bookmarkStart w:id="2" w:name="_Ref513730152"/>
      <w:r>
        <w:t>Processing of sequence data</w:t>
      </w:r>
      <w:bookmarkEnd w:id="2"/>
    </w:p>
    <w:p w14:paraId="00AA3A6A" w14:textId="3517E7F0" w:rsidR="00D2345D" w:rsidRDefault="00D2345D" w:rsidP="00211BCA">
      <w:r>
        <w:t xml:space="preserve">Microbial 16S V3-V4 amplicon data were processed and analyzed using a series of BASH scripts and python jupyter notebooks containing R code that are </w:t>
      </w:r>
      <w:r w:rsidR="00FA5C4C">
        <w:t>publicly available at (</w:t>
      </w:r>
      <w:r w:rsidR="00FA5C4C" w:rsidRPr="00FA5C4C">
        <w:t>https://github.com/cramjaco/Nyvac_096_Microbiome</w:t>
      </w:r>
      <w:r w:rsidR="00FA5C4C">
        <w:t>)</w:t>
      </w:r>
      <w:r>
        <w:t>. Briefly, samples were demultiplexed and barcodes and primers removed in QIIME1. Sequence variant (SV) assignment was carried out using an adaptation of the DADA2 pipeline for 454 data (</w:t>
      </w:r>
      <w:hyperlink r:id="rId19" w:anchor="can-i-use-dada2-with-my-454-or-ion-torrent-data" w:history="1">
        <w:r>
          <w:rPr>
            <w:rStyle w:val="Hyperlink"/>
            <w:rFonts w:ascii="Arial" w:hAnsi="Arial" w:cs="Arial"/>
            <w:color w:val="1155CC"/>
          </w:rPr>
          <w:t>https://benjjneb.github.io/dada2/faq.html#can-i-use-dada2-with-my-454-or-ion-torrent-data</w:t>
        </w:r>
      </w:hyperlink>
      <w:r>
        <w:t>, see Supplemental methods).</w:t>
      </w:r>
      <w:r w:rsidR="00F2126E">
        <w:t xml:space="preserve"> </w:t>
      </w:r>
      <w:r>
        <w:t xml:space="preserve">SVs were named with DADA2’s taxonomic identification functions and a phylogenetic tree of SVs from within all samples was generated in the R environment (v. 3.4.1) using the </w:t>
      </w:r>
      <w:r>
        <w:rPr>
          <w:i/>
          <w:iCs/>
        </w:rPr>
        <w:t>phangorn</w:t>
      </w:r>
      <w:r>
        <w:t xml:space="preserve"> package (Schliep et al. 2011). For the purposes of this </w:t>
      </w:r>
      <w:r>
        <w:lastRenderedPageBreak/>
        <w:t>analysis, we removed</w:t>
      </w:r>
      <w:r w:rsidR="00DF5E14">
        <w:t xml:space="preserve"> 31 SVs that were unidentified to the Phylum level, 7 SVs from phyla that were found in the data set fewer than 20 times each (Verrumicrobia, Tenericutes, Elusimicrobia and Synergistetes), and 386 SVs that were present in fewer than 10% of the samples.</w:t>
      </w:r>
    </w:p>
    <w:p w14:paraId="1D8F922F" w14:textId="5CEDBC84" w:rsidR="00D2345D" w:rsidRDefault="00D2345D" w:rsidP="00211BCA">
      <w:r>
        <w:t>To test the association of microbial subpopulations with immunogenicity and vaccine response, we clustered the 16S SVs at multiple levels of phylogenetic relatedness. Because of the inconsistencies observed with taxonomic cla</w:t>
      </w:r>
      <w:r w:rsidR="00FA5C4C">
        <w:t>ssific</w:t>
      </w:r>
      <w:r w:rsidR="00F617A6">
        <w:t>ation algorithms (Golob et al. 2017)</w:t>
      </w:r>
      <w:r>
        <w:t xml:space="preserve">, we avoided a taxonomic approach to phylogenetic clustering, instead using the phylogenetic diversity based on multiple sequence alignment of the complete set of SVs in this study. We created a set of clusters with the goal of approximating the degree of granularity that would be achieved by clustering at the commonly accepted phylogenetic levels (e.g. Phylum, Class), while allowing our groups to be independent of any taxonomic classification algorithm. </w:t>
      </w:r>
    </w:p>
    <w:p w14:paraId="27E7C5DB" w14:textId="77777777" w:rsidR="00D2345D" w:rsidRDefault="00D2345D" w:rsidP="00211BCA">
      <w:r>
        <w:t>Operationally, phylogenetic clustering was performed by (1) identifying the number of unique taxa that were predicted to be present at each taxonomic level (e.g. Phylum, Class) according to DADA2’s implementation of RDP’s naive Baysean classifier (Wang et al., 2007), (2) performing agglomerative clustering on the phylogenetic tree of SV sequences to create the number of groups identified at each of those taxonomic levels, and (3) naming the resulting phylogenetic groups according to the highest taxonomic level shared by SVs within that group.</w:t>
      </w:r>
    </w:p>
    <w:p w14:paraId="019E2B0E" w14:textId="77777777" w:rsidR="00D2345D" w:rsidRDefault="00D2345D" w:rsidP="00F617A6">
      <w:pPr>
        <w:pStyle w:val="Heading2"/>
      </w:pPr>
      <w:r>
        <w:t>Global - Kernel Regression Tests</w:t>
      </w:r>
    </w:p>
    <w:p w14:paraId="2BE674AB" w14:textId="2C3DB5C3" w:rsidR="00D2345D" w:rsidRDefault="00D2345D" w:rsidP="00211BCA">
      <w:r>
        <w:t xml:space="preserve">In two versions of this </w:t>
      </w:r>
      <w:r w:rsidR="00FA5C4C">
        <w:t>analysis,</w:t>
      </w:r>
      <w:r>
        <w:t xml:space="preserve"> immunological variables were “median-split” and treated as a binary variable, and secondarily box-cox transformed.</w:t>
      </w:r>
      <w:r>
        <w:rPr>
          <w:strike/>
        </w:rPr>
        <w:t xml:space="preserve"> </w:t>
      </w:r>
      <w:r>
        <w:t>This same kernel regression method was to compare Jensen-Shannon divergence to each of the BAMA measurements. To perform this analysis, Jensen-Shannon distance matrix was derived from community structure data that had been agglomerated to each taxonomic level (</w:t>
      </w:r>
      <w:r w:rsidR="00A03C5E">
        <w:t>Supplement S</w:t>
      </w:r>
      <w:r>
        <w:t xml:space="preserve">ection </w:t>
      </w:r>
      <w:r w:rsidR="00A03C5E">
        <w:fldChar w:fldCharType="begin"/>
      </w:r>
      <w:r w:rsidR="00A03C5E">
        <w:instrText xml:space="preserve"> REF _Ref513730152 \n \h </w:instrText>
      </w:r>
      <w:r w:rsidR="00A03C5E">
        <w:fldChar w:fldCharType="separate"/>
      </w:r>
      <w:r w:rsidR="007E6B03">
        <w:t>7.3</w:t>
      </w:r>
      <w:r w:rsidR="00A03C5E">
        <w:fldChar w:fldCharType="end"/>
      </w:r>
      <w:r>
        <w:t>).  MiRKAT was then provided a list of kernels, each one representing distance matrices from communities aggregated to different levels. Then for each variable of interest, MiRKAT calculated kernel regression p-values for each level of taxonomic agglomeration. For the of Jensen-Shannon kernel regression tests of different taxonomic agglomerations, MiRKAT calculated an omnibus P-value, which determines whether a family of related tests shows significance overall. This omnibus P-value essentially tells one whether any of the tests show significance, while adjusting for multiple comparisons. In the Principal Coordinate regression approach, MDS1, the major component of weighted UniFrac variability, accounted we performed logistic</w:t>
      </w:r>
      <w:r w:rsidR="00FA5C4C">
        <w:t xml:space="preserve"> </w:t>
      </w:r>
      <w:r>
        <w:t xml:space="preserve">regression of MDS1 against both the </w:t>
      </w:r>
      <w:r>
        <w:lastRenderedPageBreak/>
        <w:t>median split transformed values (respectively) each IgG and IgA. As a secondary analysis, we performed linear regression of MDS1 against the box-cox transformed measurements.</w:t>
      </w:r>
    </w:p>
    <w:p w14:paraId="43168546" w14:textId="77777777" w:rsidR="00D2345D" w:rsidRPr="00FA5C4C" w:rsidRDefault="00D2345D" w:rsidP="00F617A6">
      <w:pPr>
        <w:pStyle w:val="Heading2"/>
      </w:pPr>
      <w:r w:rsidRPr="00FA5C4C">
        <w:t>Local Regression Tests</w:t>
      </w:r>
    </w:p>
    <w:p w14:paraId="52039E27" w14:textId="77777777" w:rsidR="00D2345D" w:rsidRDefault="00D2345D" w:rsidP="00211BCA">
      <w:r>
        <w:t xml:space="preserve">For each immunologic variable that was found to be statistically significant under </w:t>
      </w:r>
      <w:r w:rsidR="00FA5C4C">
        <w:t>the global test,</w:t>
      </w:r>
      <w:r>
        <w:t> we performed (at each agglomeration level) logistic regression of each taxon’s centered log-ratio (clr) transformed relative</w:t>
      </w:r>
      <w:r w:rsidR="00D51C35">
        <w:t xml:space="preserve"> abundance</w:t>
      </w:r>
      <w:r>
        <w:t xml:space="preserve"> against median split immunological measurements. Multiplicity adjustment to control the false-discovery rate (FDR) was performed using the Q-value statistic (Storey et al. </w:t>
      </w:r>
      <w:r w:rsidR="00D51C35">
        <w:t>2002</w:t>
      </w:r>
      <w:r>
        <w:t>) across all taxa for each immune variable at each level of agglomeration. We identified which taxonomic agglomeration level - immunologic variable combinations were associated with some Q &lt; 0.2.</w:t>
      </w:r>
    </w:p>
    <w:p w14:paraId="6FD72232" w14:textId="77777777" w:rsidR="00D2345D" w:rsidRDefault="00D2345D" w:rsidP="00F617A6">
      <w:pPr>
        <w:pStyle w:val="Heading2"/>
      </w:pPr>
      <w:r>
        <w:t>Statistical associations between Family level groups, and between Families and Immune variables:</w:t>
      </w:r>
    </w:p>
    <w:p w14:paraId="2B47C4D0" w14:textId="0E71A8E9" w:rsidR="00D2345D" w:rsidRDefault="00D2345D" w:rsidP="00211BCA">
      <w:r>
        <w:t>Because t</w:t>
      </w:r>
      <w:r w:rsidR="00D51C35">
        <w:t xml:space="preserve">he local tests identified that </w:t>
      </w:r>
      <w:r w:rsidR="00D64614">
        <w:t>family level groups</w:t>
      </w:r>
      <w:r>
        <w:t xml:space="preserve"> had more statistically significant interactions than groups at other levels (see </w:t>
      </w:r>
      <w:r w:rsidR="00D64614">
        <w:t xml:space="preserve">Results section </w:t>
      </w:r>
      <w:r w:rsidR="00D64614">
        <w:fldChar w:fldCharType="begin"/>
      </w:r>
      <w:r w:rsidR="00D64614">
        <w:instrText xml:space="preserve"> REF _Ref513729992 \n \h </w:instrText>
      </w:r>
      <w:r w:rsidR="00D64614">
        <w:fldChar w:fldCharType="separate"/>
      </w:r>
      <w:r w:rsidR="007E6B03">
        <w:t>4.5</w:t>
      </w:r>
      <w:r w:rsidR="00D64614">
        <w:fldChar w:fldCharType="end"/>
      </w:r>
      <w:r>
        <w:t>), subsequent analysis focused on family level patterns. We report which family level taxa are associated, via binomial regression with each immunologic variable that relates to community structure via the global kernel regr</w:t>
      </w:r>
      <w:r w:rsidR="00D51C35">
        <w:t>ession tests. Gp120 binding IgG;</w:t>
      </w:r>
      <w:r>
        <w:t xml:space="preserve"> which associated more strongly with community structure when it was treated as a discrete (</w:t>
      </w:r>
      <w:r w:rsidR="00D64614">
        <w:t>Table 1)</w:t>
      </w:r>
      <w:r>
        <w:t>, ra</w:t>
      </w:r>
      <w:r w:rsidR="00D51C35">
        <w:t xml:space="preserve">ther than a continuous </w:t>
      </w:r>
      <w:r w:rsidR="00D64614">
        <w:t>(Table S1)</w:t>
      </w:r>
      <w:r w:rsidR="00D51C35">
        <w:t>variable;</w:t>
      </w:r>
      <w:r>
        <w:t xml:space="preserve"> was also treated as a continuous variable, box-cox transformed, and linearly regressed against species abundances.</w:t>
      </w:r>
    </w:p>
    <w:p w14:paraId="7B5621B9" w14:textId="77777777" w:rsidR="00D2345D" w:rsidRDefault="00D2345D" w:rsidP="00211BCA">
      <w:r>
        <w:t>To understand how these local associations related to microbial community structure patterns, we investigated whether those taxa that were associated with immunological variable abundance were also associated with each other. The proportionality method (Lovel et al. 2015), was used to test for statistical associations between family level groups, while accounting for compositionality of the groups. We examined whether these co-occurring families were systematically related to relationships between the taxa and immune measurements.</w:t>
      </w:r>
    </w:p>
    <w:p w14:paraId="32589EF5" w14:textId="77777777" w:rsidR="00D2345D" w:rsidRDefault="00D2345D" w:rsidP="00F617A6">
      <w:pPr>
        <w:pStyle w:val="Heading1"/>
      </w:pPr>
      <w:r>
        <w:t>References</w:t>
      </w:r>
    </w:p>
    <w:p w14:paraId="0CD6F473" w14:textId="77777777" w:rsidR="00D2345D" w:rsidRDefault="00D2345D" w:rsidP="00211BCA">
      <w:r>
        <w:t>[STUB]</w:t>
      </w:r>
    </w:p>
    <w:p w14:paraId="393497F8" w14:textId="210368BF" w:rsidR="00D2345D" w:rsidRDefault="00D2345D" w:rsidP="00211BCA">
      <w:r>
        <w:t xml:space="preserve">Schliep K.P. 2011. phangorn: phylogenetic analysis in R. Bioinformatics, 27(4) 592-593 </w:t>
      </w:r>
    </w:p>
    <w:sectPr w:rsidR="00D23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01214"/>
    <w:multiLevelType w:val="multilevel"/>
    <w:tmpl w:val="21762B3C"/>
    <w:lvl w:ilvl="0">
      <w:start w:val="1"/>
      <w:numFmt w:val="decimal"/>
      <w:pStyle w:val="Heading1"/>
      <w:lvlText w:val="%1"/>
      <w:lvlJc w:val="left"/>
      <w:pPr>
        <w:ind w:left="432" w:hanging="432"/>
      </w:pPr>
      <w:rPr>
        <w:rFonts w:ascii="Arial" w:hAnsi="Arial" w:cs="Arial" w:hint="default"/>
        <w:b w:val="0"/>
      </w:rPr>
    </w:lvl>
    <w:lvl w:ilvl="1">
      <w:start w:val="1"/>
      <w:numFmt w:val="decimal"/>
      <w:pStyle w:val="Heading2"/>
      <w:lvlText w:val="%1.%2"/>
      <w:lvlJc w:val="left"/>
      <w:pPr>
        <w:ind w:left="756" w:hanging="576"/>
      </w:pPr>
      <w:rPr>
        <w:rFonts w:ascii="Arial" w:hAnsi="Arial" w:cs="Arial" w:hint="default"/>
        <w:b w:val="0"/>
        <w:sz w:val="36"/>
        <w:szCs w:val="36"/>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C04"/>
    <w:rsid w:val="00003246"/>
    <w:rsid w:val="00033591"/>
    <w:rsid w:val="00067355"/>
    <w:rsid w:val="00211BCA"/>
    <w:rsid w:val="00220CB8"/>
    <w:rsid w:val="002B1BD1"/>
    <w:rsid w:val="002E0BB8"/>
    <w:rsid w:val="002F411D"/>
    <w:rsid w:val="00320C56"/>
    <w:rsid w:val="003C7E4B"/>
    <w:rsid w:val="00401F49"/>
    <w:rsid w:val="00426B2B"/>
    <w:rsid w:val="00463730"/>
    <w:rsid w:val="004D4F27"/>
    <w:rsid w:val="00514D51"/>
    <w:rsid w:val="00524558"/>
    <w:rsid w:val="00566260"/>
    <w:rsid w:val="00571C8E"/>
    <w:rsid w:val="005F4998"/>
    <w:rsid w:val="00626E72"/>
    <w:rsid w:val="006B68DE"/>
    <w:rsid w:val="00714891"/>
    <w:rsid w:val="00766D8E"/>
    <w:rsid w:val="00767A74"/>
    <w:rsid w:val="00793099"/>
    <w:rsid w:val="007B4C60"/>
    <w:rsid w:val="007E6B03"/>
    <w:rsid w:val="008423A1"/>
    <w:rsid w:val="008C575E"/>
    <w:rsid w:val="00980826"/>
    <w:rsid w:val="009D75FA"/>
    <w:rsid w:val="009D7A7D"/>
    <w:rsid w:val="009F2316"/>
    <w:rsid w:val="00A03C5E"/>
    <w:rsid w:val="00A042CA"/>
    <w:rsid w:val="00BD6B3B"/>
    <w:rsid w:val="00CC6AD6"/>
    <w:rsid w:val="00CE0125"/>
    <w:rsid w:val="00CE7DF8"/>
    <w:rsid w:val="00D2345D"/>
    <w:rsid w:val="00D34B5C"/>
    <w:rsid w:val="00D51C35"/>
    <w:rsid w:val="00D64614"/>
    <w:rsid w:val="00D86A11"/>
    <w:rsid w:val="00DB0070"/>
    <w:rsid w:val="00DF5E14"/>
    <w:rsid w:val="00E55EE2"/>
    <w:rsid w:val="00E66C04"/>
    <w:rsid w:val="00F2126E"/>
    <w:rsid w:val="00F436F7"/>
    <w:rsid w:val="00F617A6"/>
    <w:rsid w:val="00FA5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691D5"/>
  <w15:chartTrackingRefBased/>
  <w15:docId w15:val="{DEBFD74E-075E-495D-85E4-938115B7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BCA"/>
    <w:pPr>
      <w:spacing w:after="240" w:line="360" w:lineRule="auto"/>
    </w:pPr>
    <w:rPr>
      <w:rFonts w:ascii="Times New Roman" w:eastAsia="Times New Roman" w:hAnsi="Times New Roman" w:cs="Times New Roman"/>
      <w:color w:val="000000"/>
    </w:rPr>
  </w:style>
  <w:style w:type="paragraph" w:styleId="Heading1">
    <w:name w:val="heading 1"/>
    <w:basedOn w:val="Normal"/>
    <w:link w:val="Heading1Char"/>
    <w:uiPriority w:val="9"/>
    <w:qFormat/>
    <w:rsid w:val="00F617A6"/>
    <w:pPr>
      <w:numPr>
        <w:numId w:val="1"/>
      </w:numPr>
      <w:spacing w:before="400" w:line="240" w:lineRule="auto"/>
      <w:outlineLvl w:val="0"/>
    </w:pPr>
    <w:rPr>
      <w:rFonts w:ascii="Arial" w:hAnsi="Arial" w:cs="Arial"/>
      <w:kern w:val="36"/>
      <w:sz w:val="40"/>
      <w:szCs w:val="40"/>
    </w:rPr>
  </w:style>
  <w:style w:type="paragraph" w:styleId="Heading2">
    <w:name w:val="heading 2"/>
    <w:basedOn w:val="Heading1"/>
    <w:link w:val="Heading2Char"/>
    <w:uiPriority w:val="9"/>
    <w:qFormat/>
    <w:rsid w:val="00F617A6"/>
    <w:pPr>
      <w:numPr>
        <w:ilvl w:val="1"/>
      </w:numPr>
      <w:ind w:left="576"/>
      <w:outlineLvl w:val="1"/>
    </w:pPr>
    <w:rPr>
      <w:sz w:val="32"/>
      <w:szCs w:val="32"/>
    </w:rPr>
  </w:style>
  <w:style w:type="paragraph" w:styleId="Heading3">
    <w:name w:val="heading 3"/>
    <w:basedOn w:val="Legend"/>
    <w:next w:val="Normal"/>
    <w:link w:val="Heading3Char"/>
    <w:uiPriority w:val="9"/>
    <w:unhideWhenUsed/>
    <w:qFormat/>
    <w:rsid w:val="005F4998"/>
    <w:pPr>
      <w:outlineLvl w:val="2"/>
    </w:pPr>
  </w:style>
  <w:style w:type="paragraph" w:styleId="Heading4">
    <w:name w:val="heading 4"/>
    <w:basedOn w:val="Normal"/>
    <w:next w:val="Normal"/>
    <w:link w:val="Heading4Char"/>
    <w:uiPriority w:val="9"/>
    <w:unhideWhenUsed/>
    <w:qFormat/>
    <w:rsid w:val="005F499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499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F499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F499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F499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499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7A6"/>
    <w:rPr>
      <w:rFonts w:ascii="Arial" w:eastAsia="Times New Roman" w:hAnsi="Arial" w:cs="Arial"/>
      <w:color w:val="000000"/>
      <w:kern w:val="36"/>
      <w:sz w:val="40"/>
      <w:szCs w:val="40"/>
    </w:rPr>
  </w:style>
  <w:style w:type="character" w:customStyle="1" w:styleId="Heading2Char">
    <w:name w:val="Heading 2 Char"/>
    <w:basedOn w:val="DefaultParagraphFont"/>
    <w:link w:val="Heading2"/>
    <w:uiPriority w:val="9"/>
    <w:rsid w:val="00F617A6"/>
    <w:rPr>
      <w:rFonts w:ascii="Arial" w:eastAsia="Times New Roman" w:hAnsi="Arial" w:cs="Arial"/>
      <w:color w:val="000000"/>
      <w:kern w:val="36"/>
      <w:sz w:val="32"/>
      <w:szCs w:val="32"/>
    </w:rPr>
  </w:style>
  <w:style w:type="paragraph" w:styleId="NormalWeb">
    <w:name w:val="Normal (Web)"/>
    <w:basedOn w:val="Normal"/>
    <w:uiPriority w:val="99"/>
    <w:unhideWhenUsed/>
    <w:rsid w:val="00D2345D"/>
    <w:pPr>
      <w:spacing w:before="100" w:beforeAutospacing="1" w:after="100" w:afterAutospacing="1" w:line="240" w:lineRule="auto"/>
    </w:pPr>
    <w:rPr>
      <w:sz w:val="24"/>
      <w:szCs w:val="24"/>
    </w:rPr>
  </w:style>
  <w:style w:type="character" w:customStyle="1" w:styleId="Heading3Char">
    <w:name w:val="Heading 3 Char"/>
    <w:basedOn w:val="DefaultParagraphFont"/>
    <w:link w:val="Heading3"/>
    <w:uiPriority w:val="9"/>
    <w:rsid w:val="005F4998"/>
    <w:rPr>
      <w:rFonts w:ascii="Times New Roman" w:eastAsia="Times New Roman" w:hAnsi="Times New Roman" w:cs="Times New Roman"/>
      <w:color w:val="000000"/>
    </w:rPr>
  </w:style>
  <w:style w:type="character" w:styleId="Hyperlink">
    <w:name w:val="Hyperlink"/>
    <w:basedOn w:val="DefaultParagraphFont"/>
    <w:uiPriority w:val="99"/>
    <w:semiHidden/>
    <w:unhideWhenUsed/>
    <w:rsid w:val="00D2345D"/>
    <w:rPr>
      <w:color w:val="0000FF"/>
      <w:u w:val="single"/>
    </w:rPr>
  </w:style>
  <w:style w:type="paragraph" w:customStyle="1" w:styleId="Legend">
    <w:name w:val="Legend"/>
    <w:basedOn w:val="Normal"/>
    <w:qFormat/>
    <w:rsid w:val="00211BCA"/>
  </w:style>
  <w:style w:type="character" w:styleId="CommentReference">
    <w:name w:val="annotation reference"/>
    <w:basedOn w:val="DefaultParagraphFont"/>
    <w:uiPriority w:val="99"/>
    <w:semiHidden/>
    <w:unhideWhenUsed/>
    <w:rsid w:val="00F436F7"/>
    <w:rPr>
      <w:sz w:val="16"/>
      <w:szCs w:val="16"/>
    </w:rPr>
  </w:style>
  <w:style w:type="paragraph" w:styleId="CommentText">
    <w:name w:val="annotation text"/>
    <w:basedOn w:val="Normal"/>
    <w:link w:val="CommentTextChar"/>
    <w:uiPriority w:val="99"/>
    <w:semiHidden/>
    <w:unhideWhenUsed/>
    <w:rsid w:val="00F436F7"/>
    <w:pPr>
      <w:spacing w:line="240" w:lineRule="auto"/>
    </w:pPr>
    <w:rPr>
      <w:sz w:val="20"/>
      <w:szCs w:val="20"/>
    </w:rPr>
  </w:style>
  <w:style w:type="character" w:customStyle="1" w:styleId="CommentTextChar">
    <w:name w:val="Comment Text Char"/>
    <w:basedOn w:val="DefaultParagraphFont"/>
    <w:link w:val="CommentText"/>
    <w:uiPriority w:val="99"/>
    <w:semiHidden/>
    <w:rsid w:val="00F436F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436F7"/>
    <w:rPr>
      <w:b/>
      <w:bCs/>
    </w:rPr>
  </w:style>
  <w:style w:type="character" w:customStyle="1" w:styleId="CommentSubjectChar">
    <w:name w:val="Comment Subject Char"/>
    <w:basedOn w:val="CommentTextChar"/>
    <w:link w:val="CommentSubject"/>
    <w:uiPriority w:val="99"/>
    <w:semiHidden/>
    <w:rsid w:val="00F436F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F436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6F7"/>
    <w:rPr>
      <w:rFonts w:ascii="Segoe UI" w:eastAsia="Times New Roman" w:hAnsi="Segoe UI" w:cs="Segoe UI"/>
      <w:color w:val="000000"/>
      <w:sz w:val="18"/>
      <w:szCs w:val="18"/>
    </w:rPr>
  </w:style>
  <w:style w:type="character" w:customStyle="1" w:styleId="Heading4Char">
    <w:name w:val="Heading 4 Char"/>
    <w:basedOn w:val="DefaultParagraphFont"/>
    <w:link w:val="Heading4"/>
    <w:uiPriority w:val="9"/>
    <w:rsid w:val="005F49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F499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F499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F499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F49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499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A042CA"/>
    <w:pPr>
      <w:spacing w:after="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A042CA"/>
    <w:rPr>
      <w:rFonts w:ascii="Times New Roman" w:eastAsiaTheme="majorEastAsia" w:hAnsi="Times New Roman" w:cs="Times New Roman"/>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180714">
      <w:bodyDiv w:val="1"/>
      <w:marLeft w:val="0"/>
      <w:marRight w:val="0"/>
      <w:marTop w:val="0"/>
      <w:marBottom w:val="0"/>
      <w:divBdr>
        <w:top w:val="none" w:sz="0" w:space="0" w:color="auto"/>
        <w:left w:val="none" w:sz="0" w:space="0" w:color="auto"/>
        <w:bottom w:val="none" w:sz="0" w:space="0" w:color="auto"/>
        <w:right w:val="none" w:sz="0" w:space="0" w:color="auto"/>
      </w:divBdr>
    </w:div>
    <w:div w:id="1075784455">
      <w:bodyDiv w:val="1"/>
      <w:marLeft w:val="0"/>
      <w:marRight w:val="0"/>
      <w:marTop w:val="0"/>
      <w:marBottom w:val="0"/>
      <w:divBdr>
        <w:top w:val="none" w:sz="0" w:space="0" w:color="auto"/>
        <w:left w:val="none" w:sz="0" w:space="0" w:color="auto"/>
        <w:bottom w:val="none" w:sz="0" w:space="0" w:color="auto"/>
        <w:right w:val="none" w:sz="0" w:space="0" w:color="auto"/>
      </w:divBdr>
    </w:div>
    <w:div w:id="1268847113">
      <w:bodyDiv w:val="1"/>
      <w:marLeft w:val="0"/>
      <w:marRight w:val="0"/>
      <w:marTop w:val="0"/>
      <w:marBottom w:val="0"/>
      <w:divBdr>
        <w:top w:val="none" w:sz="0" w:space="0" w:color="auto"/>
        <w:left w:val="none" w:sz="0" w:space="0" w:color="auto"/>
        <w:bottom w:val="none" w:sz="0" w:space="0" w:color="auto"/>
        <w:right w:val="none" w:sz="0" w:space="0" w:color="auto"/>
      </w:divBdr>
    </w:div>
    <w:div w:id="1298334229">
      <w:bodyDiv w:val="1"/>
      <w:marLeft w:val="0"/>
      <w:marRight w:val="0"/>
      <w:marTop w:val="0"/>
      <w:marBottom w:val="0"/>
      <w:divBdr>
        <w:top w:val="none" w:sz="0" w:space="0" w:color="auto"/>
        <w:left w:val="none" w:sz="0" w:space="0" w:color="auto"/>
        <w:bottom w:val="none" w:sz="0" w:space="0" w:color="auto"/>
        <w:right w:val="none" w:sz="0" w:space="0" w:color="auto"/>
      </w:divBdr>
    </w:div>
    <w:div w:id="210495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benjjneb.github.io/dada2/faq.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EDBB5-B998-414F-84C6-685805B5D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30</Pages>
  <Words>18767</Words>
  <Characters>106975</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Fred Hutch</Company>
  <LinksUpToDate>false</LinksUpToDate>
  <CharactersWithSpaces>125492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 Jacob A</dc:creator>
  <cp:keywords/>
  <dc:description/>
  <cp:lastModifiedBy>Cram, Jacob A</cp:lastModifiedBy>
  <cp:revision>8</cp:revision>
  <cp:lastPrinted>2018-05-30T16:46:00Z</cp:lastPrinted>
  <dcterms:created xsi:type="dcterms:W3CDTF">2018-05-30T17:55:00Z</dcterms:created>
  <dcterms:modified xsi:type="dcterms:W3CDTF">2018-06-04T23:00:00Z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id="xn1q4Pmu"/&gt;&lt;style id="http://www.zotero.org/styles/cell" hasBibliography="1" bibliographyStyleHasBeenSet="0"/&gt;&lt;prefs&gt;&lt;pref name="fieldType" value="Field"/&gt;&lt;pref name="automaticJournalAbbreviation</vt:lpwstr>
  </property>
  <property fmtid="{D5CDD505-2E9C-101B-9397-08002B2CF9AE}" pid="3" name="ZOTERO_PREF_2">
    <vt:lpwstr>s" value="true"/&gt;&lt;/prefs&gt;&lt;/data&gt;</vt:lpwstr>
  </property>
</Properties>
</file>