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6349BAE6" w:rsidR="007B69A1" w:rsidRDefault="007B69A1" w:rsidP="00EF63F8">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5A96139C" w:rsidR="00104E87" w:rsidRDefault="00935759" w:rsidP="00EF63F8">
      <w:r>
        <w:t>24</w:t>
      </w:r>
      <w:r w:rsidR="004D045E">
        <w:t xml:space="preserve"> May 2021</w:t>
      </w:r>
    </w:p>
    <w:p w14:paraId="00000007" w14:textId="21094707" w:rsidR="00104E87" w:rsidRPr="00D357C6" w:rsidRDefault="004D045E" w:rsidP="00EF63F8">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3"/>
    </w:p>
    <w:p w14:paraId="0000000F" w14:textId="77777777" w:rsidR="00104E87" w:rsidRDefault="004D045E" w:rsidP="00EF63F8">
      <w:pPr>
        <w:pStyle w:val="Heading1"/>
      </w:pPr>
      <w:bookmarkStart w:id="4" w:name="bookmark=id.30j0zll" w:colFirst="0" w:colLast="0"/>
      <w:bookmarkEnd w:id="4"/>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5" w:name="bookmark=id.1fob9te" w:colFirst="0" w:colLast="0"/>
      <w:bookmarkEnd w:id="5"/>
      <w:r w:rsidRPr="00B25AB1">
        <w:lastRenderedPageBreak/>
        <w:t>Abstract</w:t>
      </w:r>
    </w:p>
    <w:p w14:paraId="00000014" w14:textId="2E583F60" w:rsidR="00104E87" w:rsidRPr="00EF63F8" w:rsidRDefault="004D045E" w:rsidP="00EF63F8">
      <w:r w:rsidRPr="00EF63F8">
        <w:t>Models and observations suggest that particle flux attenuation is lower across the mesopelagic zone of anoxic environments compared to oxic ones.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rsidRPr="00EF63F8">
        <w:t xml:space="preserve">biomass and disaggregate particles in the ODZ core. </w:t>
      </w:r>
    </w:p>
    <w:p w14:paraId="00000015" w14:textId="34896BDE" w:rsidR="00104E87" w:rsidRPr="00B25AB1" w:rsidRDefault="004D045E" w:rsidP="00EF63F8">
      <w:pPr>
        <w:pStyle w:val="Heading1"/>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8" w:name="bookmark=id.2et92p0" w:colFirst="0" w:colLast="0"/>
      <w:bookmarkEnd w:id="8"/>
      <w:r w:rsidRPr="00B25AB1">
        <w:lastRenderedPageBreak/>
        <w:t>Introduction</w:t>
      </w:r>
    </w:p>
    <w:p w14:paraId="00000018" w14:textId="4BEF48E4" w:rsidR="00104E87" w:rsidRDefault="004D045E" w:rsidP="00EF63F8">
      <w:r>
        <w:t>The biological pump, in which sinking particles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p>
    <w:p w14:paraId="00000019" w14:textId="0FC45C3C" w:rsidR="00104E87" w:rsidRDefault="004D045E" w:rsidP="00EF63F8">
      <w:r>
        <w:t xml:space="preserve">Zooplankton 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F46B2">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DF46B2" w:rsidRPr="00DF46B2">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F46B2">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DF46B2" w:rsidRPr="00DF46B2">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DF46B2">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DF46B2" w:rsidRPr="00DF46B2">
        <w:t>(Stukel et al., 2019)</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DF46B2">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DF46B2" w:rsidRPr="00DF46B2">
        <w:t>(Stukel et al., 2019)</w:t>
      </w:r>
      <w:r w:rsidR="009A3929">
        <w:fldChar w:fldCharType="end"/>
      </w:r>
      <w:r>
        <w:t xml:space="preserve">. Zooplankton break large particles into smaller ones, likely by generating turbulence when they swim </w:t>
      </w:r>
      <w:r w:rsidR="009A3929">
        <w:fldChar w:fldCharType="begin"/>
      </w:r>
      <w:r w:rsidR="00DF46B2">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DF46B2">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(Goldthwait et al., 2005)</w:t>
      </w:r>
      <w:r w:rsidR="009A3929">
        <w:fldChar w:fldCharType="end"/>
      </w:r>
      <w:r>
        <w:t xml:space="preserve">. This fragmentation has been shown in some cases to explain around 50% of flux attenuation </w:t>
      </w:r>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r w:rsidR="007B69A1">
        <w:t>.</w:t>
      </w:r>
    </w:p>
    <w:p w14:paraId="0000001A" w14:textId="0A7FB367" w:rsidR="00104E87" w:rsidRDefault="004D045E" w:rsidP="00EF63F8">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The oxygen content of the ocean is decreasing</w:t>
      </w:r>
      <w:r w:rsidR="00394613">
        <w:t xml:space="preserve"> </w:t>
      </w:r>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w:t>
      </w:r>
      <w:r>
        <w:lastRenderedPageBreak/>
        <w:t xml:space="preserve">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only beginning to be explored </w:t>
      </w:r>
      <w:r w:rsidR="00750A5E">
        <w:fldChar w:fldCharType="begin"/>
      </w:r>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(Kiko et al., 2020)</w:t>
      </w:r>
      <w:r w:rsidR="00750A5E">
        <w:fldChar w:fldCharType="end"/>
      </w:r>
      <w:r>
        <w:t>.</w:t>
      </w:r>
    </w:p>
    <w:p w14:paraId="0000001B" w14:textId="20456D11" w:rsidR="00104E87" w:rsidRDefault="004D045E" w:rsidP="00EF63F8">
      <w:r>
        <w:t xml:space="preserve">Models of particle transfer through the mesopelagic oceans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2729CE20" w:rsidR="00104E87" w:rsidRDefault="004D045E" w:rsidP="00EF63F8">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UVPs can provide information about.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(Guidi et al., 2008; Kiko et al., 2017)</w:t>
      </w:r>
      <w:r w:rsidR="006E0668">
        <w:fldChar w:fldCharType="end"/>
      </w:r>
      <w:r>
        <w:t>.</w:t>
      </w:r>
    </w:p>
    <w:p w14:paraId="0000001D" w14:textId="19E3E655" w:rsidR="00104E87" w:rsidRDefault="0014548D" w:rsidP="00EF63F8">
      <w:r>
        <w:t>UVP have provided insight into other anoxic and hypoxic environments. In the Arabian Sea, particle size data from a UVP were compared to</w:t>
      </w:r>
      <w:r w:rsidR="006E0668">
        <w:t xml:space="preserve"> measurements</w:t>
      </w:r>
      <w:r>
        <w:t xml:space="preserve"> zooplankton 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t>phytoplantkon</w:t>
      </w:r>
      <w:proofErr w:type="spellEnd"/>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(Roullier et al., 2014)</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(Kiko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w:t>
      </w:r>
      <w:r w:rsidR="004D045E">
        <w:lastRenderedPageBreak/>
        <w:t>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3BC2283E" w:rsidR="00104E87" w:rsidRDefault="004D045E" w:rsidP="00EF63F8">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sidP="00EF63F8">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(Fuchsman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w:t>
      </w:r>
      <w:r>
        <w:lastRenderedPageBreak/>
        <w:t>throughout the water column, how changes in size distribution deviate from changes that would be predicted by remineralization and sinking only models.</w:t>
      </w:r>
    </w:p>
    <w:p w14:paraId="00000022" w14:textId="460A5FE8" w:rsidR="00104E87" w:rsidRDefault="00EF63F8" w:rsidP="00EF63F8">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5A6FB9" w:rsidR="00104E87" w:rsidRDefault="004D045E" w:rsidP="00EF63F8">
      <w:r>
        <w:rPr>
          <w:b/>
        </w:rPr>
        <w:t>Question A:</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sidP="00EF63F8">
      <w:r>
        <w:rPr>
          <w:b/>
        </w:rPr>
        <w:t>Question B:</w:t>
      </w:r>
      <w:r>
        <w:t xml:space="preserve"> How </w:t>
      </w:r>
      <w:r w:rsidR="008A4608">
        <w:t>does</w:t>
      </w:r>
      <w:r>
        <w:t xml:space="preserve"> the particle size distribution at one location in the oligotrophic Eastern Tropical North Pacific vary with respect to depth and time?</w:t>
      </w:r>
    </w:p>
    <w:p w14:paraId="00000027" w14:textId="587149A9" w:rsidR="00104E87" w:rsidRDefault="00911372" w:rsidP="00EF63F8">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rsidP="00EF63F8">
      <w:pPr>
        <w:pStyle w:val="Heading1"/>
      </w:pPr>
      <w:bookmarkStart w:id="9" w:name="_heading=h.mszek3c207e" w:colFirst="0" w:colLast="0"/>
      <w:bookmarkStart w:id="10" w:name="bookmark=id.tyjcwt" w:colFirst="0" w:colLast="0"/>
      <w:bookmarkEnd w:id="9"/>
      <w:bookmarkEnd w:id="10"/>
      <w:r w:rsidRPr="00C42B62">
        <w:t>Methods</w:t>
      </w:r>
    </w:p>
    <w:p w14:paraId="00000029" w14:textId="7BC4D895" w:rsidR="00104E87" w:rsidRDefault="004D045E" w:rsidP="00EF63F8">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t>
      </w:r>
      <w:proofErr w:type="gramStart"/>
      <w:r w:rsidR="004F704B">
        <w:t>was</w:t>
      </w:r>
      <w:r>
        <w:t xml:space="preserve"> located in</w:t>
      </w:r>
      <w:proofErr w:type="gramEnd"/>
      <w:r>
        <w:t xml:space="preserve">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EF63F8">
      <w:pPr>
        <w:pStyle w:val="Heading2"/>
      </w:pPr>
      <w:bookmarkStart w:id="11" w:name="bookmark=id.3dy6vkm" w:colFirst="0" w:colLast="0"/>
      <w:bookmarkEnd w:id="11"/>
      <w:r w:rsidRPr="00B25AB1">
        <w:t>Water</w:t>
      </w:r>
      <w:r>
        <w:t xml:space="preserve"> </w:t>
      </w:r>
      <w:r w:rsidRPr="00B25AB1">
        <w:t>property</w:t>
      </w:r>
      <w:r>
        <w:t xml:space="preserve"> </w:t>
      </w:r>
      <w:r w:rsidRPr="00C42B62">
        <w:t>measurements</w:t>
      </w:r>
    </w:p>
    <w:p w14:paraId="0000002B" w14:textId="7838648A" w:rsidR="00104E87" w:rsidRDefault="004D045E" w:rsidP="00EF63F8">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r w:rsidR="004F704B">
        <w:t xml:space="preserve"> Processed data are available under NCEI Accession number 1064968 </w:t>
      </w:r>
      <w:r w:rsidR="000A079F">
        <w:fldChar w:fldCharType="begin"/>
      </w:r>
      <w:r w:rsidR="000A079F">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fldChar w:fldCharType="separate"/>
      </w:r>
      <w:r w:rsidR="000A079F" w:rsidRPr="000A079F">
        <w:t>(Rocap et al., 2017)</w:t>
      </w:r>
      <w:r w:rsidR="000A079F">
        <w:fldChar w:fldCharType="end"/>
      </w:r>
      <w:r w:rsidR="000A079F">
        <w:t>.</w:t>
      </w:r>
    </w:p>
    <w:p w14:paraId="0000002C" w14:textId="77777777" w:rsidR="00104E87" w:rsidRDefault="004D045E" w:rsidP="00EF63F8">
      <w:pPr>
        <w:pStyle w:val="Heading2"/>
      </w:pPr>
      <w:bookmarkStart w:id="12" w:name="bookmark=id.1t3h5sf" w:colFirst="0" w:colLast="0"/>
      <w:bookmarkEnd w:id="12"/>
      <w:r>
        <w:t>Water mass analysis</w:t>
      </w:r>
    </w:p>
    <w:p w14:paraId="0000002D" w14:textId="4F0CDCCC" w:rsidR="00104E87" w:rsidRDefault="004D045E" w:rsidP="00EF63F8">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rsidP="00EF63F8">
      <w:pPr>
        <w:pStyle w:val="Heading2"/>
      </w:pPr>
      <w:bookmarkStart w:id="13" w:name="bookmark=id.4d34og8" w:colFirst="0" w:colLast="0"/>
      <w:bookmarkEnd w:id="13"/>
      <w:r>
        <w:lastRenderedPageBreak/>
        <w:t>Particle size measurements</w:t>
      </w:r>
    </w:p>
    <w:p w14:paraId="0000002F" w14:textId="4420E572" w:rsidR="00104E87" w:rsidRDefault="004D045E" w:rsidP="00EF63F8">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rsidP="00EF63F8">
      <w:pPr>
        <w:pStyle w:val="Heading2"/>
      </w:pPr>
      <w:bookmarkStart w:id="14" w:name="bookmark=id.2s8eyo1" w:colFirst="0" w:colLast="0"/>
      <w:bookmarkEnd w:id="14"/>
      <w:r>
        <w:t>Flux measurements</w:t>
      </w:r>
    </w:p>
    <w:p w14:paraId="00000031" w14:textId="2E9BEC30" w:rsidR="00104E87" w:rsidRDefault="004D045E" w:rsidP="00EF63F8">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w:t>
      </w:r>
      <w:r w:rsidR="00E041A0">
        <w:t>. When</w:t>
      </w:r>
      <w:r>
        <w:t xml:space="preserve"> </w:t>
      </w:r>
      <w:r w:rsidR="001A5B17">
        <w:t xml:space="preserve">the door at the top of the trap closed, </w:t>
      </w:r>
      <w:r w:rsidR="00E041A0">
        <w:t xml:space="preserve">the trap was </w:t>
      </w:r>
      <w:r>
        <w:t xml:space="preserve">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6ACCB2C7" w:rsidR="00104E87" w:rsidRDefault="004D045E" w:rsidP="00EF63F8">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w:t>
      </w:r>
      <w:r>
        <w:lastRenderedPageBreak/>
        <w:t xml:space="preserve">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rsidP="00EF63F8">
      <w:pPr>
        <w:pStyle w:val="Heading2"/>
      </w:pPr>
      <w:bookmarkStart w:id="15" w:name="bookmark=id.17dp8vu" w:colFirst="0" w:colLast="0"/>
      <w:bookmarkEnd w:id="15"/>
      <w:r>
        <w:t>Analysis</w:t>
      </w:r>
    </w:p>
    <w:p w14:paraId="00000034" w14:textId="17AE7148" w:rsidR="00104E87" w:rsidRDefault="004D045E" w:rsidP="00EF63F8">
      <w:r>
        <w:t>All analyses focused on the mesopelagic, defined here as the region between the base of the secondary chlorophyll maximum layer (1</w:t>
      </w:r>
      <w:r w:rsidR="00E041A0">
        <w:t>60</w:t>
      </w:r>
      <w:r>
        <w:t xml:space="preserve">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sidP="00EF63F8">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EF63F8">
      <w:pPr>
        <w:pStyle w:val="Heading3"/>
      </w:pPr>
      <w:bookmarkStart w:id="16" w:name="bookmark=id.3rdcrjn" w:colFirst="0" w:colLast="0"/>
      <w:bookmarkEnd w:id="16"/>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557857C1"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w:t>
      </w:r>
      <w:r w:rsidR="00E041A0">
        <w:t>-</w:t>
      </w:r>
      <w:r>
        <w:t>bin. We use the lower bound of a particle size</w:t>
      </w:r>
      <w:r w:rsidR="00E041A0">
        <w:t>-b</w:t>
      </w:r>
      <w:r>
        <w:t xml:space="preserve">in, rather than its midpoint, because, due to the power-law particle size distribution </w:t>
      </w:r>
      <w:r>
        <w:lastRenderedPageBreak/>
        <w:t>slopes, the average size of particles in each size-bin is closer to the size-bin’s lower bound rather than its midpoint.</w:t>
      </w:r>
    </w:p>
    <w:p w14:paraId="0000003A" w14:textId="77777777" w:rsidR="00104E87" w:rsidRDefault="004D045E" w:rsidP="00EF63F8">
      <w:pPr>
        <w:pStyle w:val="Heading3"/>
      </w:pPr>
      <w:bookmarkStart w:id="17" w:name="bookmark=id.26in1rg" w:colFirst="0" w:colLast="0"/>
      <w:bookmarkEnd w:id="17"/>
      <w:r>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0D895ACE" w:rsidR="00104E87" w:rsidRDefault="004D045E" w:rsidP="00EF63F8">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714DC99F" w:rsidR="00104E87" w:rsidRDefault="004D045E" w:rsidP="00EF63F8">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r>
        <w:t>.</w:t>
      </w:r>
    </w:p>
    <w:p w14:paraId="00000043" w14:textId="77777777" w:rsidR="00104E87" w:rsidRDefault="004D045E" w:rsidP="00EF63F8">
      <w:pPr>
        <w:pStyle w:val="Heading3"/>
      </w:pPr>
      <w:bookmarkStart w:id="18" w:name="bookmark=id.lnxbz9" w:colFirst="0" w:colLast="0"/>
      <w:bookmarkEnd w:id="18"/>
      <w:r>
        <w:t>Size specific information</w:t>
      </w:r>
    </w:p>
    <w:p w14:paraId="00000044" w14:textId="4736FF6F" w:rsidR="00104E87" w:rsidRDefault="004D045E" w:rsidP="00EF63F8">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19" w:name="bookmark=id.35nkun2" w:colFirst="0" w:colLast="0"/>
      <w:bookmarkEnd w:id="19"/>
      <w:r>
        <w:t>Variability</w:t>
      </w:r>
    </w:p>
    <w:p w14:paraId="00000046" w14:textId="77777777" w:rsidR="00104E87" w:rsidRDefault="004D045E" w:rsidP="00EF63F8">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EF63F8">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20" w:name="_heading=h.tflkzqnarjy0" w:colFirst="0" w:colLast="0"/>
      <w:bookmarkEnd w:id="20"/>
      <w:r>
        <w:lastRenderedPageBreak/>
        <w:t>Smoothing for Comparison to Model Results</w:t>
      </w:r>
    </w:p>
    <w:p w14:paraId="0000004A" w14:textId="37B1A61F" w:rsidR="00104E87" w:rsidRDefault="004D045E" w:rsidP="00EF63F8">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EF63F8">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21" w:name="bookmark=id.1ksv4uv" w:colFirst="0" w:colLast="0"/>
      <w:bookmarkEnd w:id="21"/>
      <w:r>
        <w:t>Modeling remineralization and sinking</w:t>
      </w:r>
    </w:p>
    <w:p w14:paraId="0000004E" w14:textId="26A24995"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5DF388A"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rsidP="00EF63F8">
      <w:pPr>
        <w:pStyle w:val="Heading1"/>
      </w:pPr>
      <w:bookmarkStart w:id="23" w:name="bookmark=id.44sinio" w:colFirst="0" w:colLast="0"/>
      <w:bookmarkEnd w:id="23"/>
      <w:r>
        <w:lastRenderedPageBreak/>
        <w:t>Results</w:t>
      </w:r>
    </w:p>
    <w:p w14:paraId="00000052" w14:textId="77777777" w:rsidR="00104E87" w:rsidRDefault="004D045E" w:rsidP="00EF63F8">
      <w:pPr>
        <w:pStyle w:val="Heading2"/>
      </w:pPr>
      <w:bookmarkStart w:id="24" w:name="bookmark=id.2jxsxqh" w:colFirst="0" w:colLast="0"/>
      <w:bookmarkEnd w:id="24"/>
      <w:r>
        <w:t>Physical and Chemical Data</w:t>
      </w:r>
    </w:p>
    <w:p w14:paraId="00000053" w14:textId="69E946B1" w:rsidR="00104E87" w:rsidRDefault="004D045E" w:rsidP="00EF63F8">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(Fuchsman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F63F8">
      <w:pPr>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15BC494" w:rsidR="00E442E8" w:rsidRPr="00E442E8" w:rsidRDefault="00E442E8" w:rsidP="00EF63F8">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w:t>
      </w:r>
      <w:r w:rsidR="004F02F7">
        <w:rPr>
          <w:rStyle w:val="FigureCaptionChar"/>
        </w:rPr>
        <w:t>S</w:t>
      </w:r>
      <w:r w:rsidRPr="00E442E8">
        <w:rPr>
          <w:rStyle w:val="FigureCaptionChar"/>
        </w:rPr>
        <w:t xml:space="preserve">tation P2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rsidP="00EF63F8"/>
    <w:p w14:paraId="00000054" w14:textId="77777777" w:rsidR="00104E87" w:rsidRDefault="004D045E" w:rsidP="00EF63F8">
      <w:pPr>
        <w:pStyle w:val="Heading2"/>
      </w:pPr>
      <w:bookmarkStart w:id="25" w:name="bookmark=id.z337ya" w:colFirst="0" w:colLast="0"/>
      <w:bookmarkEnd w:id="25"/>
      <w:r>
        <w:lastRenderedPageBreak/>
        <w:t xml:space="preserve">Acoustic data reveal diel migration </w:t>
      </w:r>
      <w:proofErr w:type="gramStart"/>
      <w:r>
        <w:t>patterns</w:t>
      </w:r>
      <w:proofErr w:type="gramEnd"/>
    </w:p>
    <w:p w14:paraId="4206F545" w14:textId="56E33460" w:rsidR="00E442E8" w:rsidRDefault="004D045E" w:rsidP="00EF63F8">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sidP="00EF63F8">
      <w:r>
        <w:t>Similar patterns were evident in each of the other measured frequencies, with better resolution by the lower frequencies (Figure S3).</w:t>
      </w:r>
    </w:p>
    <w:p w14:paraId="378902A8" w14:textId="77777777" w:rsidR="00E442E8" w:rsidRDefault="00E442E8" w:rsidP="00EF63F8">
      <w:r>
        <w:rPr>
          <w:noProof/>
        </w:rPr>
        <w:drawing>
          <wp:inline distT="0" distB="0" distL="114300" distR="114300" wp14:anchorId="5D3C6DAE" wp14:editId="64B502AA">
            <wp:extent cx="5030136"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6" cy="3105022"/>
                    </a:xfrm>
                    <a:prstGeom prst="rect">
                      <a:avLst/>
                    </a:prstGeom>
                    <a:ln/>
                  </pic:spPr>
                </pic:pic>
              </a:graphicData>
            </a:graphic>
          </wp:inline>
        </w:drawing>
      </w:r>
    </w:p>
    <w:p w14:paraId="7C9D3F0E" w14:textId="5F0FB46C" w:rsidR="00E442E8" w:rsidRDefault="00E442E8" w:rsidP="00EF63F8">
      <w:pPr>
        <w:pStyle w:val="FigureCaption"/>
      </w:pPr>
      <w:r w:rsidRPr="00E442E8">
        <w:rPr>
          <w:b/>
          <w:bCs/>
        </w:rPr>
        <w:t>Figure 2.</w:t>
      </w:r>
      <w:r>
        <w:t xml:space="preserve"> Acoustic data, measured by EK60</w:t>
      </w:r>
      <w:r w:rsidR="00395E7B">
        <w:t xml:space="preserve"> </w:t>
      </w:r>
      <w:r>
        <w:t>over the course of the experiment</w:t>
      </w:r>
      <w:r w:rsidR="009F1B72">
        <w:t>, at ETNP Station P2</w:t>
      </w:r>
      <w:r>
        <w:t>. Shown are data from the 18000 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26" w:name="_Hlk72503730"/>
      <w:r w:rsidR="00395E7B">
        <w:t xml:space="preserve">Horizontal blue </w:t>
      </w:r>
      <w:r w:rsidR="00395E7B">
        <w:lastRenderedPageBreak/>
        <w:t>lines indicate the surface and bottom of the ODZ, while the horizontal green line indicates the base of the photic zone.</w:t>
      </w:r>
      <w:bookmarkEnd w:id="26"/>
      <w:r>
        <w:t xml:space="preserve"> Several patterns can be seen</w:t>
      </w:r>
      <w:r w:rsidR="00CF29F2">
        <w:t>:</w:t>
      </w:r>
      <w:r>
        <w:t xml:space="preserve">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27" w:name="bookmark=id.3j2qqm3" w:colFirst="0" w:colLast="0"/>
      <w:bookmarkEnd w:id="27"/>
      <w:r>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0E73BEB4"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w:t>
      </w:r>
      <w:r>
        <w:lastRenderedPageBreak/>
        <w:t xml:space="preserve">the trap observation depths. </w:t>
      </w:r>
      <w:r w:rsidR="00395E7B">
        <w:t>Horizontal blue lines indicate the surface and bottom of the ODZ, while the horizontal green line indicates the base of the photic zone.</w:t>
      </w:r>
    </w:p>
    <w:p w14:paraId="00000059" w14:textId="77777777" w:rsidR="00104E87" w:rsidRDefault="004D045E" w:rsidP="00EF63F8">
      <w:pPr>
        <w:pStyle w:val="Heading2"/>
      </w:pPr>
      <w:bookmarkStart w:id="28" w:name="bookmark=id.1y810tw" w:colFirst="0" w:colLast="0"/>
      <w:bookmarkEnd w:id="28"/>
      <w:r>
        <w:t xml:space="preserve">Particle abundance measurements vary with size and </w:t>
      </w:r>
      <w:proofErr w:type="gramStart"/>
      <w:r>
        <w:t>depth</w:t>
      </w:r>
      <w:proofErr w:type="gramEnd"/>
    </w:p>
    <w:p w14:paraId="0000005A" w14:textId="11161E0E" w:rsidR="00104E87" w:rsidRDefault="004D045E" w:rsidP="00EF63F8">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sidP="00EF63F8">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sidP="00EF63F8">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F63F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776E3447" w:rsidR="00E442E8" w:rsidRDefault="00E442E8" w:rsidP="00EF63F8">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w:t>
      </w:r>
      <w:r w:rsidR="00395E7B">
        <w:t xml:space="preserve"> Horizontal blue lines indicate the surface and bottom of the ODZ, while the horizontal green line indicates the base of the photic zone. </w:t>
      </w:r>
    </w:p>
    <w:p w14:paraId="0000005D" w14:textId="77777777" w:rsidR="00104E87" w:rsidRDefault="004D045E" w:rsidP="00EF63F8">
      <w:pPr>
        <w:pStyle w:val="Heading2"/>
      </w:pPr>
      <w:bookmarkStart w:id="29" w:name="bookmark=id.4i7ojhp" w:colFirst="0" w:colLast="0"/>
      <w:bookmarkEnd w:id="29"/>
      <w:r>
        <w:t xml:space="preserve">Estimated particle flux sometimes increases with depth in the ODZ </w:t>
      </w:r>
      <w:proofErr w:type="gramStart"/>
      <w:r>
        <w:t>core</w:t>
      </w:r>
      <w:proofErr w:type="gramEnd"/>
    </w:p>
    <w:p w14:paraId="24EA2D77" w14:textId="77777777" w:rsidR="00B87896" w:rsidRDefault="006932EA" w:rsidP="00EF63F8">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w:t>
      </w:r>
      <w:proofErr w:type="spellStart"/>
      <w:r w:rsidR="002D151D" w:rsidRPr="005B08B6">
        <w:rPr>
          <w:bCs/>
        </w:rPr>
        <w:t>Eqn</w:t>
      </w:r>
      <w:proofErr w:type="spellEnd"/>
      <w:r w:rsidR="002D151D" w:rsidRPr="005B08B6">
        <w:rPr>
          <w:bCs/>
        </w:rPr>
        <w:t xml:space="preserve"> 5)</w:t>
      </w:r>
    </w:p>
    <w:p w14:paraId="0000005E" w14:textId="321D43D7" w:rsidR="00104E87" w:rsidRDefault="004D045E" w:rsidP="00EF63F8">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w:t>
      </w:r>
      <w:r>
        <w:lastRenderedPageBreak/>
        <w:t>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208D494B" w:rsidR="00104E87" w:rsidRDefault="004D045E" w:rsidP="00EF63F8">
      <w:r>
        <w:t xml:space="preserve">The general additive model that </w:t>
      </w:r>
      <w:r w:rsidR="006932EA">
        <w:t>quantified</w:t>
      </w:r>
      <w:r>
        <w:t xml:space="preserve"> the how the of change of flux 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lastRenderedPageBreak/>
        <w:drawing>
          <wp:inline distT="0" distB="0" distL="114300" distR="114300" wp14:anchorId="11AD2B62" wp14:editId="12023126">
            <wp:extent cx="3127162" cy="562889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27162" cy="5628893"/>
                    </a:xfrm>
                    <a:prstGeom prst="rect">
                      <a:avLst/>
                    </a:prstGeom>
                    <a:ln/>
                  </pic:spPr>
                </pic:pic>
              </a:graphicData>
            </a:graphic>
          </wp:inline>
        </w:drawing>
      </w:r>
    </w:p>
    <w:p w14:paraId="405AB694" w14:textId="7924416A" w:rsidR="00E442E8" w:rsidRDefault="00E442E8" w:rsidP="00EF63F8">
      <w:pPr>
        <w:pStyle w:val="FigureCaption"/>
      </w:pPr>
      <w:r w:rsidRPr="00DA717E">
        <w:rPr>
          <w:b/>
          <w:bCs/>
        </w:rPr>
        <w:t>Figure 5.</w:t>
      </w:r>
      <w:r>
        <w:t xml:space="preserve"> Within and between day variability in UVP predicted particle flux at ETNP </w:t>
      </w:r>
      <w:r w:rsidR="004F02F7">
        <w:t>S</w:t>
      </w:r>
      <w:r>
        <w:t xml:space="preserve">tation P2. All profiles are depth binned with higher resolution towards the surface (methods). </w:t>
      </w:r>
      <w:r w:rsidR="00395E7B">
        <w:t xml:space="preserve">Horizontal blue lines indicate the surface and bottom of the ODZ, while the horizontal green line indicates the base of the photic zone.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rsidP="00EF63F8">
      <w:pPr>
        <w:pStyle w:val="Heading2"/>
      </w:pPr>
      <w:bookmarkStart w:id="30" w:name="bookmark=id.2xcytpi" w:colFirst="0" w:colLast="0"/>
      <w:bookmarkEnd w:id="30"/>
      <w:r>
        <w:lastRenderedPageBreak/>
        <w:t xml:space="preserve">ETNP particle dynamics differ from those seen at an oxic </w:t>
      </w:r>
      <w:proofErr w:type="gramStart"/>
      <w:r>
        <w:t>site</w:t>
      </w:r>
      <w:proofErr w:type="gramEnd"/>
    </w:p>
    <w:p w14:paraId="00000062" w14:textId="6FD3EA3A" w:rsidR="00104E87" w:rsidRDefault="004D045E" w:rsidP="00EF63F8">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w:t>
      </w:r>
      <w:proofErr w:type="gramStart"/>
      <w:r w:rsidR="004D07E5">
        <w:t>Thus</w:t>
      </w:r>
      <w:proofErr w:type="gramEnd"/>
      <w:r w:rsidR="004D07E5">
        <w:t xml:space="preserve"> we define the </w:t>
      </w:r>
      <w:proofErr w:type="spellStart"/>
      <w:r w:rsidR="004D07E5">
        <w:t>mesopelegic</w:t>
      </w:r>
      <w:proofErr w:type="spellEnd"/>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sidP="00EF63F8">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A2ED533" w:rsidR="00104E87" w:rsidRDefault="004D045E" w:rsidP="00EF63F8">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w:t>
      </w:r>
      <w:r w:rsidR="004F02F7">
        <w:t>S</w:t>
      </w:r>
      <w:r>
        <w:t xml:space="preserve">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sidP="00EF63F8">
      <w:r>
        <w:t>In contrast to the anoxic station, at the oxic station, flux always decreased with depth (Figure S9A+B).</w:t>
      </w:r>
    </w:p>
    <w:p w14:paraId="00000066" w14:textId="77777777" w:rsidR="00104E87" w:rsidRDefault="004D045E" w:rsidP="00EF63F8">
      <w:pPr>
        <w:pStyle w:val="Heading2"/>
      </w:pPr>
      <w:bookmarkStart w:id="31" w:name="bookmark=id.1ci93xb" w:colFirst="0" w:colLast="0"/>
      <w:bookmarkEnd w:id="31"/>
      <w:r>
        <w:t>Smoothed and averaged data</w:t>
      </w:r>
    </w:p>
    <w:p w14:paraId="00000067" w14:textId="3482BD15" w:rsidR="00104E87" w:rsidRDefault="004D045E" w:rsidP="00EF63F8">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w:t>
      </w:r>
      <w:r w:rsidR="004D07E5">
        <w:t xml:space="preserve"> slope</w:t>
      </w:r>
      <w:r>
        <w:t xml:space="preserve"> (Figure 6</w:t>
      </w:r>
      <w:r w:rsidR="00911970">
        <w:t>B</w:t>
      </w:r>
      <w:r>
        <w:t>),</w:t>
      </w:r>
      <w:r w:rsidR="004D07E5">
        <w:t xml:space="preserve"> and</w:t>
      </w:r>
      <w:r>
        <w:t xml:space="preserve">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EF63F8">
      <w:r>
        <w:rPr>
          <w:noProof/>
        </w:rPr>
        <w:lastRenderedPageBreak/>
        <w:drawing>
          <wp:inline distT="0" distB="0" distL="114300" distR="114300" wp14:anchorId="58FBBC77" wp14:editId="7F0923E2">
            <wp:extent cx="4700765"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5" cy="3318187"/>
                    </a:xfrm>
                    <a:prstGeom prst="rect">
                      <a:avLst/>
                    </a:prstGeom>
                    <a:ln/>
                  </pic:spPr>
                </pic:pic>
              </a:graphicData>
            </a:graphic>
          </wp:inline>
        </w:drawing>
      </w:r>
    </w:p>
    <w:p w14:paraId="294FE439" w14:textId="35CF1401" w:rsidR="00B05390" w:rsidRDefault="00B05390" w:rsidP="00EF63F8">
      <w:pPr>
        <w:pStyle w:val="FigureCaption"/>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2000m of the water column, collected on January 13 beginning at 06:13.</w:t>
      </w:r>
      <w:r w:rsidR="00395E7B">
        <w:t xml:space="preserve"> Horizontal blue lines indicate the surface and bottom of the ODZ, while the horizontal green line indicates the base of the photic zone. </w:t>
      </w:r>
      <w:r>
        <w:t xml:space="preserve"> </w:t>
      </w:r>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r w:rsidR="00395E7B">
        <w:t xml:space="preserve"> In these two biomass panels, data from above the base of the photic zone are not shown.</w:t>
      </w:r>
    </w:p>
    <w:p w14:paraId="00000068" w14:textId="4BB3C9D4" w:rsidR="00104E87" w:rsidRDefault="004D045E" w:rsidP="00EF63F8">
      <w:pPr>
        <w:pStyle w:val="Heading2"/>
      </w:pPr>
      <w:bookmarkStart w:id="32" w:name="bookmark=id.3whwml4" w:colFirst="0" w:colLast="0"/>
      <w:bookmarkEnd w:id="32"/>
      <w:r>
        <w:t xml:space="preserve">Particle number dynamics differ from model </w:t>
      </w:r>
      <w:proofErr w:type="gramStart"/>
      <w:r>
        <w:t>expectations</w:t>
      </w:r>
      <w:proofErr w:type="gramEnd"/>
    </w:p>
    <w:p w14:paraId="00000069" w14:textId="743586A0" w:rsidR="00104E87" w:rsidRDefault="004D045E" w:rsidP="00EF63F8">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EF63F8">
      <m:oMath>
        <m:r>
          <m:rPr>
            <m:sty m:val="p"/>
          </m:rPr>
          <w:rPr>
            <w:rFonts w:ascii="Cambria Math" w:hAnsi="Cambria Math"/>
          </w:rPr>
          <w:lastRenderedPageBreak/>
          <m:t>DFM=</m:t>
        </m:r>
        <m:f>
          <m:fPr>
            <m:ctrlPr>
              <w:rPr>
                <w:rFonts w:ascii="Cambria Math" w:hAnsi="Cambria Math"/>
              </w:rPr>
            </m:ctrlPr>
          </m:fPr>
          <m:num>
            <m:d>
              <m:dPr>
                <m:ctrlPr>
                  <w:rPr>
                    <w:rFonts w:ascii="Cambria Math" w:hAnsi="Cambria Math"/>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sidP="00EF63F8">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sidP="00EF63F8">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EF63F8">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1D97EC90" w:rsidR="00DC428E" w:rsidRPr="009F1B72" w:rsidRDefault="00DC428E" w:rsidP="00EF63F8">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 xml:space="preserve">following the </w:t>
      </w:r>
      <w:r>
        <w:lastRenderedPageBreak/>
        <w:t>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w:t>
      </w:r>
      <w:r w:rsidR="00395E7B">
        <w:t>cannot</w:t>
      </w:r>
      <w:r w:rsidR="00C92D2E">
        <w:t xml:space="preserve"> be captured by a null model that assumes that particles only sink and remineralize. </w:t>
      </w:r>
      <w:r w:rsidR="009F1B72">
        <w:rPr>
          <w:i/>
          <w:iCs/>
        </w:rPr>
        <w:t>DFM</w:t>
      </w:r>
      <w:r w:rsidR="009F1B72">
        <w:t xml:space="preserve"> is reported for all casts at ETNP Station P2.</w:t>
      </w:r>
      <w:r w:rsidR="00395E7B">
        <w:t xml:space="preserve"> Horizontal blue lines indicate the surface and bottom of the ODZ, while the horizontal green line indicates the base of the photic zone.</w:t>
      </w:r>
    </w:p>
    <w:bookmarkStart w:id="33" w:name="bookmark=id.2bn6wsx" w:colFirst="0" w:colLast="0"/>
    <w:bookmarkEnd w:id="33"/>
    <w:p w14:paraId="00000070" w14:textId="77777777" w:rsidR="00104E87" w:rsidRDefault="00EF63F8" w:rsidP="00EF63F8">
      <w:pPr>
        <w:pStyle w:val="Heading1"/>
      </w:pPr>
      <w:sdt>
        <w:sdtPr>
          <w:tag w:val="goog_rdk_27"/>
          <w:id w:val="-1604639901"/>
        </w:sdtPr>
        <w:sdtEndPr/>
        <w:sdtContent/>
      </w:sdt>
      <w:r w:rsidR="004D045E">
        <w:t>Discussion</w:t>
      </w:r>
    </w:p>
    <w:p w14:paraId="00000071" w14:textId="77777777" w:rsidR="00104E87" w:rsidRDefault="004D045E" w:rsidP="00EF63F8">
      <w:pPr>
        <w:pStyle w:val="Heading2"/>
      </w:pPr>
      <w:bookmarkStart w:id="34" w:name="bookmark=id.qsh70q" w:colFirst="0" w:colLast="0"/>
      <w:bookmarkEnd w:id="34"/>
      <w:r>
        <w:t xml:space="preserve">Diel migrators spend time in the ODZ </w:t>
      </w:r>
      <w:proofErr w:type="gramStart"/>
      <w:r>
        <w:t>core</w:t>
      </w:r>
      <w:proofErr w:type="gramEnd"/>
    </w:p>
    <w:p w14:paraId="00000072" w14:textId="12B7A66A" w:rsidR="00104E87" w:rsidRDefault="004D045E" w:rsidP="00EF63F8">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xml:space="preserve">. Sampling efforts elsewhere in the ETNP suggest that many of these diel migrators are euphausiids and fish </w:t>
      </w:r>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and that diel migrators are primarily 2-5 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(Wishner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5C6BD7A4" w:rsidR="00104E87" w:rsidRDefault="004D045E" w:rsidP="00EF63F8">
      <w:r>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w:t>
      </w:r>
      <w:r>
        <w:lastRenderedPageBreak/>
        <w:t xml:space="preserve">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35" w:name="bookmark=id.3as4poj" w:colFirst="0" w:colLast="0"/>
      <w:bookmarkEnd w:id="35"/>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0D28AE2E" w:rsidR="00104E87" w:rsidRDefault="004D045E" w:rsidP="00EF63F8">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(Hartnett &amp; Devol, 2003; Van Mooy et al., 2002)</w:t>
      </w:r>
      <w:r w:rsidR="00B04B63">
        <w:fldChar w:fldCharType="end"/>
      </w:r>
      <w:r>
        <w:t>.</w:t>
      </w:r>
    </w:p>
    <w:p w14:paraId="00000076" w14:textId="77777777" w:rsidR="00104E87" w:rsidRDefault="004D045E" w:rsidP="00EF63F8">
      <w:pPr>
        <w:pStyle w:val="Heading2"/>
      </w:pPr>
      <w:bookmarkStart w:id="36" w:name="bookmark=id.1pxezwc" w:colFirst="0" w:colLast="0"/>
      <w:bookmarkEnd w:id="36"/>
      <w:r>
        <w:t xml:space="preserve">The flux to size relationship is typical of other </w:t>
      </w:r>
      <w:proofErr w:type="gramStart"/>
      <w:r>
        <w:t>sites</w:t>
      </w:r>
      <w:proofErr w:type="gramEnd"/>
    </w:p>
    <w:p w14:paraId="00000077" w14:textId="2B4144EE"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37" w:name="bookmark=id.49x2ik5" w:colFirst="0" w:colLast="0"/>
      <w:bookmarkEnd w:id="37"/>
      <w:r>
        <w:t xml:space="preserve">Remineralization rates of all particles decrease in the ODZ, but disaggregation does </w:t>
      </w:r>
      <w:proofErr w:type="gramStart"/>
      <w:r>
        <w:t>not</w:t>
      </w:r>
      <w:proofErr w:type="gramEnd"/>
    </w:p>
    <w:p w14:paraId="00000079" w14:textId="311ECD31"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r>
        <w:t xml:space="preserve">. This suggests that the low oxygen at this site decreases the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w:t>
      </w:r>
      <w:r>
        <w:lastRenderedPageBreak/>
        <w:t xml:space="preserve">this region or horizontal transport of small particles through advection in this region. One possible source 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38" w:name="bookmark=id.2p2csry" w:colFirst="0" w:colLast="0"/>
      <w:bookmarkEnd w:id="38"/>
      <w:r>
        <w:t xml:space="preserve">Zooplankton likely transport organic matter into the ODZ </w:t>
      </w:r>
      <w:proofErr w:type="gramStart"/>
      <w:r>
        <w:t>core</w:t>
      </w:r>
      <w:proofErr w:type="gramEnd"/>
    </w:p>
    <w:p w14:paraId="3A55F41E" w14:textId="7932F48C" w:rsidR="00F94AB5" w:rsidRDefault="004D045E" w:rsidP="00EF63F8">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r w:rsidR="0073043C">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659F20FC" w:rsidR="00104E87" w:rsidRDefault="00EC3855" w:rsidP="00EF63F8">
      <w:r>
        <w:t xml:space="preserve">Zooplankton are known to also 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has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9" w:name="bookmark=id.147n2zr" w:colFirst="0" w:colLast="0"/>
      <w:bookmarkEnd w:id="39"/>
    </w:p>
    <w:p w14:paraId="0000007C" w14:textId="77777777" w:rsidR="00104E87" w:rsidRDefault="004D045E" w:rsidP="00EF63F8">
      <w:pPr>
        <w:pStyle w:val="Heading2"/>
      </w:pPr>
      <w:r>
        <w:t xml:space="preserve">Zooplankton likely disaggregate particles in the ODZ </w:t>
      </w:r>
      <w:proofErr w:type="gramStart"/>
      <w:r>
        <w:t>core</w:t>
      </w:r>
      <w:proofErr w:type="gramEnd"/>
    </w:p>
    <w:p w14:paraId="0000007D" w14:textId="4BD6F2F8" w:rsidR="00104E87" w:rsidRDefault="004D045E" w:rsidP="00EF63F8">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w:t>
      </w:r>
      <w:r>
        <w:lastRenderedPageBreak/>
        <w:t xml:space="preserve">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xml:space="preserve">. While other processes such as horizontal advection of water containing small 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73813906" w:rsidR="00104E87" w:rsidRDefault="004D045E" w:rsidP="00EF63F8">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sidP="00EF63F8">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EF63F8">
      <w:pPr>
        <w:pStyle w:val="Heading2"/>
      </w:pPr>
      <w:bookmarkStart w:id="40" w:name="bookmark=id.3o7alnk" w:colFirst="0" w:colLast="0"/>
      <w:bookmarkEnd w:id="40"/>
      <w:r>
        <w:t xml:space="preserve">Water mass changes may affect particle flux and size </w:t>
      </w:r>
      <w:proofErr w:type="gramStart"/>
      <w:r>
        <w:t>changes</w:t>
      </w:r>
      <w:proofErr w:type="gramEnd"/>
    </w:p>
    <w:p w14:paraId="60F17794" w14:textId="0A09EA50" w:rsidR="001F2172" w:rsidRDefault="004D045E" w:rsidP="00EF63F8">
      <w:r>
        <w:t>The observation that particle flux begins to attenuate below 500</w:t>
      </w:r>
      <w:r w:rsidR="001F2172">
        <w:t xml:space="preserve"> </w:t>
      </w:r>
      <w:r>
        <w:t>m more quickly than it does between the base of the photic zone and 500</w:t>
      </w:r>
      <w:r w:rsidR="00C66B70">
        <w:t xml:space="preserve"> </w:t>
      </w:r>
      <w:r>
        <w:t xml:space="preserve">m </w:t>
      </w:r>
      <w:r w:rsidR="00074D11" w:rsidRPr="00074D11">
        <w:t xml:space="preserve">could be explained in part by a shift in water mass at this depth where AAIW begins to mix with NEPIW (Figure S2). The AAIW is suggested to have micromolar oxygen concentrations, as compared to the NEPIW, such that a small contribution of AAIW can raise the oxygen concentration. These conclusions are based on iodine oxidation state proxy data, likely as a result of having a different history than the overlying waters in which less organic matter has remineralized in this water mass by the time it reaches the ETNP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r w:rsidR="00074D11">
        <w:t>.</w:t>
      </w:r>
      <w:sdt>
        <w:sdtPr>
          <w:tag w:val="goog_rdk_36"/>
          <w:id w:val="177468586"/>
        </w:sdtPr>
        <w:sdtEndPr/>
        <w:sdtContent/>
      </w:sdt>
      <w:r w:rsidR="004A766D">
        <w:t xml:space="preserve"> However, measurements taken at this station in 2012 observed zero oxygen though 800</w:t>
      </w:r>
      <w:r w:rsidR="005F4E9C">
        <w:t xml:space="preserve"> </w:t>
      </w:r>
      <w:r w:rsidR="004A766D">
        <w:t>m with the highly sensitive STOX electrode, suggesting that oxygen, if present, is below 2</w:t>
      </w:r>
      <w:r w:rsidR="005F4E9C">
        <w:t> </w:t>
      </w:r>
      <w:proofErr w:type="spellStart"/>
      <w:r w:rsidR="004A766D">
        <w:t>nM</w:t>
      </w:r>
      <w:proofErr w:type="spellEnd"/>
      <w:r w:rsidR="004A766D">
        <w:t xml:space="preserve">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t>
      </w:r>
      <w:r w:rsidR="00B22615">
        <w:lastRenderedPageBreak/>
        <w:t xml:space="preserve">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45CDC56B" w:rsidR="00104E87" w:rsidRDefault="004D045E" w:rsidP="00EF63F8">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rsidP="00EF63F8">
      <w:pPr>
        <w:pStyle w:val="Heading2"/>
      </w:pPr>
      <w:bookmarkStart w:id="41" w:name="bookmark=id.23ckvvd" w:colFirst="0" w:colLast="0"/>
      <w:bookmarkStart w:id="42" w:name="bookmark=id.ihv636" w:colFirst="0" w:colLast="0"/>
      <w:bookmarkEnd w:id="41"/>
      <w:bookmarkEnd w:id="42"/>
      <w:r>
        <w:t>Opportunities for future directions</w:t>
      </w:r>
    </w:p>
    <w:p w14:paraId="00000088" w14:textId="6B691D35" w:rsidR="00104E87" w:rsidRDefault="001F2172" w:rsidP="00EF63F8">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00000089" w14:textId="77777777" w:rsidR="00104E87" w:rsidRDefault="004D045E" w:rsidP="00EF63F8">
      <w:pPr>
        <w:pStyle w:val="Heading1"/>
      </w:pPr>
      <w:bookmarkStart w:id="43" w:name="bookmark=id.32hioqz" w:colFirst="0" w:colLast="0"/>
      <w:bookmarkEnd w:id="43"/>
      <w:r>
        <w:t>Conclusions</w:t>
      </w:r>
    </w:p>
    <w:p w14:paraId="0000008A" w14:textId="4173F21B" w:rsidR="00104E87" w:rsidRDefault="004D045E" w:rsidP="00EF63F8">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D5087C" w:rsidR="00104E87" w:rsidRDefault="004D045E" w:rsidP="00EF63F8">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 xml:space="preserve">day and within day variability in organic matter transport was evident, though overall patterns in particle size, flux and disaggregation appeared to be consistent over the course of the time-series. The change in </w:t>
      </w:r>
      <w:r>
        <w:lastRenderedPageBreak/>
        <w:t>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44" w:name="_heading=h.uz166cm11no7" w:colFirst="0" w:colLast="0"/>
      <w:bookmarkEnd w:id="44"/>
      <w:r>
        <w:t>Acknowledgements</w:t>
      </w:r>
    </w:p>
    <w:p w14:paraId="0000008F" w14:textId="6540BDEF" w:rsidR="00104E87" w:rsidRDefault="004D045E" w:rsidP="00EF63F8">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45" w:name="bookmark=id.1hmsyys" w:colFirst="0" w:colLast="0"/>
      <w:bookmarkStart w:id="46" w:name="bookmark=id.3fwokq0" w:colFirst="0" w:colLast="0"/>
      <w:bookmarkEnd w:id="45"/>
      <w:bookmarkEnd w:id="46"/>
    </w:p>
    <w:p w14:paraId="24F48064" w14:textId="1307B64A" w:rsidR="00DC428E" w:rsidRDefault="009B2BA7" w:rsidP="00EF63F8">
      <w:pPr>
        <w:rPr>
          <w:b/>
          <w:i/>
          <w:sz w:val="36"/>
          <w:szCs w:val="36"/>
        </w:rPr>
      </w:pPr>
      <w:r>
        <w:t>Data for this research, as well as analy</w:t>
      </w:r>
      <w:r w:rsidR="00A250C2">
        <w:t>s</w:t>
      </w:r>
      <w:r>
        <w:t xml:space="preserve">is and model code are available on GitHub at </w:t>
      </w:r>
      <w:hyperlink r:id="rId16"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EF63F8">
      <w:pPr>
        <w:pStyle w:val="Heading1"/>
      </w:pPr>
      <w:r>
        <w:lastRenderedPageBreak/>
        <w:t>References</w:t>
      </w:r>
    </w:p>
    <w:bookmarkStart w:id="47" w:name="bookmark=id.1v1yuxt" w:colFirst="0" w:colLast="0"/>
    <w:bookmarkStart w:id="48" w:name="bookmark=id.4f1mdlm" w:colFirst="0" w:colLast="0"/>
    <w:bookmarkEnd w:id="47"/>
    <w:bookmarkEnd w:id="48"/>
    <w:p w14:paraId="2487625D" w14:textId="77777777" w:rsidR="00074D11" w:rsidRDefault="006B0287" w:rsidP="00EF63F8">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074D11">
        <w:t xml:space="preserve">Andersen, L. N. (2001). The new Simrad EK60 scientific echo sounder system. </w:t>
      </w:r>
      <w:r w:rsidR="00074D11">
        <w:rPr>
          <w:i/>
          <w:iCs/>
        </w:rPr>
        <w:t>The Journal of the Acoustical Society of America</w:t>
      </w:r>
      <w:r w:rsidR="00074D11">
        <w:t xml:space="preserve">, </w:t>
      </w:r>
      <w:r w:rsidR="00074D11">
        <w:rPr>
          <w:i/>
          <w:iCs/>
        </w:rPr>
        <w:t>109</w:t>
      </w:r>
      <w:r w:rsidR="00074D11">
        <w:t>(5), 2336–2336. https://doi.org/10.1121/1.4744207</w:t>
      </w:r>
    </w:p>
    <w:p w14:paraId="78D546A0" w14:textId="77777777" w:rsidR="00074D11" w:rsidRDefault="00074D11" w:rsidP="00EF63F8">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290354D9" w14:textId="77777777" w:rsidR="00074D11" w:rsidRDefault="00074D11" w:rsidP="00EF63F8">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7FDAD1E2" w14:textId="77777777" w:rsidR="00074D11" w:rsidRDefault="00074D11" w:rsidP="00EF63F8">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08B2CF21" w14:textId="77777777" w:rsidR="00074D11" w:rsidRDefault="00074D11" w:rsidP="00EF63F8">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4EC0DA90" w14:textId="77777777" w:rsidR="00074D11" w:rsidRDefault="00074D11" w:rsidP="00EF63F8">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578D9B48" w14:textId="77777777" w:rsidR="00074D11" w:rsidRDefault="00074D11" w:rsidP="00EF63F8">
      <w:pPr>
        <w:pStyle w:val="Bibliography"/>
      </w:pPr>
      <w:r>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6E8AF23E" w14:textId="77777777" w:rsidR="00074D11" w:rsidRDefault="00074D11" w:rsidP="00EF63F8">
      <w:pPr>
        <w:pStyle w:val="Bibliography"/>
      </w:pPr>
      <w:r>
        <w:t xml:space="preserve">Bristow, L. A. (2018). Anoxia in the snow. </w:t>
      </w:r>
      <w:r>
        <w:rPr>
          <w:i/>
          <w:iCs/>
        </w:rPr>
        <w:t>Nature Geoscience</w:t>
      </w:r>
      <w:r>
        <w:t xml:space="preserve">, </w:t>
      </w:r>
      <w:r>
        <w:rPr>
          <w:i/>
          <w:iCs/>
        </w:rPr>
        <w:t>11</w:t>
      </w:r>
      <w:r>
        <w:t>(4), 226–227. https://doi.org/10.1038/s41561-018-0088-6</w:t>
      </w:r>
    </w:p>
    <w:p w14:paraId="637C339A" w14:textId="77777777" w:rsidR="00074D11" w:rsidRDefault="00074D11" w:rsidP="00EF63F8">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2ED4772F" w14:textId="77777777" w:rsidR="00074D11" w:rsidRDefault="00074D11" w:rsidP="00EF63F8">
      <w:pPr>
        <w:pStyle w:val="Bibliography"/>
      </w:pPr>
      <w:r>
        <w:lastRenderedPageBreak/>
        <w:t xml:space="preserve">Burd, A. B., &amp; Jackson, G. A. (2009). Particle Aggregation. </w:t>
      </w:r>
      <w:r>
        <w:rPr>
          <w:i/>
          <w:iCs/>
        </w:rPr>
        <w:t>Annual Review of Marine Science</w:t>
      </w:r>
      <w:r>
        <w:t xml:space="preserve">, </w:t>
      </w:r>
      <w:r>
        <w:rPr>
          <w:i/>
          <w:iCs/>
        </w:rPr>
        <w:t>1</w:t>
      </w:r>
      <w:r>
        <w:t>(1), 65–90. https://doi.org/10.1146/annurev.marine.010908.163904</w:t>
      </w:r>
    </w:p>
    <w:p w14:paraId="27ED108E" w14:textId="77777777" w:rsidR="00074D11" w:rsidRDefault="00074D11" w:rsidP="00EF63F8">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4CA0E031" w14:textId="77777777" w:rsidR="00074D11" w:rsidRDefault="00074D11" w:rsidP="00EF63F8">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52C59203" w14:textId="77777777" w:rsidR="00074D11" w:rsidRDefault="00074D11" w:rsidP="00EF63F8">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007F719C" w14:textId="77777777" w:rsidR="00074D11" w:rsidRDefault="00074D11" w:rsidP="00EF63F8">
      <w:pPr>
        <w:pStyle w:val="Bibliography"/>
      </w:pPr>
      <w:r>
        <w:t>Date, S. (2020, November 21). Generalized Linear Models. Retrieved May 2, 2021, from https://towardsdatascience.com/generalized-linear-models-9ec4dfe3dc3f</w:t>
      </w:r>
    </w:p>
    <w:p w14:paraId="34360C18" w14:textId="77777777" w:rsidR="00074D11" w:rsidRDefault="00074D11" w:rsidP="00EF63F8">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187AC4D2" w14:textId="77777777" w:rsidR="00074D11" w:rsidRDefault="00074D11" w:rsidP="00EF63F8">
      <w:pPr>
        <w:pStyle w:val="Bibliography"/>
      </w:pPr>
      <w:r>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38DD71F0" w14:textId="77777777" w:rsidR="00074D11" w:rsidRDefault="00074D11" w:rsidP="00EF63F8">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2268C484" w14:textId="77777777" w:rsidR="00074D11" w:rsidRDefault="00074D11" w:rsidP="00EF63F8">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2847C04A" w14:textId="77777777" w:rsidR="00074D11" w:rsidRDefault="00074D11" w:rsidP="00EF63F8">
      <w:pPr>
        <w:pStyle w:val="Bibliography"/>
      </w:pPr>
      <w:r>
        <w:lastRenderedPageBreak/>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63A8A388" w14:textId="77777777" w:rsidR="00074D11" w:rsidRDefault="00074D11" w:rsidP="00EF63F8">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579691A4" w14:textId="77777777" w:rsidR="00074D11" w:rsidRDefault="00074D11" w:rsidP="00EF63F8">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465E165F" w14:textId="77777777" w:rsidR="00074D11" w:rsidRDefault="00074D11" w:rsidP="00EF63F8">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228D1387" w14:textId="77777777" w:rsidR="00074D11" w:rsidRDefault="00074D11" w:rsidP="00EF63F8">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1932F3CB" w14:textId="77777777" w:rsidR="00074D11" w:rsidRDefault="00074D11" w:rsidP="00EF63F8">
      <w:pPr>
        <w:pStyle w:val="Bibliography"/>
      </w:pPr>
      <w:r>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52BF6CBD" w14:textId="77777777" w:rsidR="00074D11" w:rsidRDefault="00074D11" w:rsidP="00EF63F8">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14BB7F21" w14:textId="77777777" w:rsidR="00074D11" w:rsidRDefault="00074D11" w:rsidP="00EF63F8">
      <w:pPr>
        <w:pStyle w:val="Bibliography"/>
      </w:pPr>
      <w:r>
        <w:t xml:space="preserve">Gilly, W. F., Beman, J. M., Litvin,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7808E11D" w14:textId="77777777" w:rsidR="00074D11" w:rsidRDefault="00074D11" w:rsidP="00EF63F8">
      <w:pPr>
        <w:pStyle w:val="Bibliography"/>
      </w:pPr>
      <w:r>
        <w:lastRenderedPageBreak/>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07B1045C" w14:textId="77777777" w:rsidR="00074D11" w:rsidRDefault="00074D11" w:rsidP="00EF63F8">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2D00E369" w14:textId="77777777" w:rsidR="00074D11" w:rsidRDefault="00074D11" w:rsidP="00EF63F8">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16211082" w14:textId="77777777" w:rsidR="00074D11" w:rsidRDefault="00074D11" w:rsidP="00EF63F8">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0D830B25" w14:textId="77777777" w:rsidR="00074D11" w:rsidRDefault="00074D11" w:rsidP="00EF63F8">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774F3B97" w14:textId="77777777" w:rsidR="00074D11" w:rsidRDefault="00074D11" w:rsidP="00EF63F8">
      <w:pPr>
        <w:pStyle w:val="Bibliography"/>
      </w:pPr>
      <w:r>
        <w:t xml:space="preserve">Herrera, I., Yebra, L., Antezana, T., Giraldo, A., Färber-Lorda, J., &amp; Hernández-León, S. (2019). Vertical variability of Euphausia distinguenda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35AE160E" w14:textId="77777777" w:rsidR="00074D11" w:rsidRDefault="00074D11" w:rsidP="00EF63F8">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7290D6D9" w14:textId="77777777" w:rsidR="00074D11" w:rsidRDefault="00074D11" w:rsidP="00EF63F8">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398F32C7" w14:textId="77777777" w:rsidR="00074D11" w:rsidRDefault="00074D11" w:rsidP="00EF63F8">
      <w:pPr>
        <w:pStyle w:val="Bibliography"/>
      </w:pPr>
      <w:r>
        <w:lastRenderedPageBreak/>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459BBE28" w14:textId="77777777" w:rsidR="00074D11" w:rsidRDefault="00074D11" w:rsidP="00EF63F8">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02DAD169" w14:textId="77777777" w:rsidR="00074D11" w:rsidRDefault="00074D11" w:rsidP="00EF63F8">
      <w:pPr>
        <w:pStyle w:val="Bibliography"/>
      </w:pPr>
      <w:r>
        <w:t>Inthorn, M. (2005). Lateral particle transport in nepheloid layers - a key factor for organic matter distribution and quality in the Benguela high-productivity area. Retrieved from https://media.suub.uni-bremen.de/handle/elib/2212</w:t>
      </w:r>
    </w:p>
    <w:p w14:paraId="1FA06A8F" w14:textId="77777777" w:rsidR="00074D11" w:rsidRDefault="00074D11" w:rsidP="00EF63F8">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6824B961" w14:textId="77777777" w:rsidR="00074D11" w:rsidRDefault="00074D11" w:rsidP="00EF63F8">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63E8AF61" w14:textId="77777777" w:rsidR="00074D11" w:rsidRDefault="00074D11" w:rsidP="00EF63F8">
      <w:pPr>
        <w:pStyle w:val="Bibliography"/>
      </w:pPr>
      <w:r>
        <w:t xml:space="preserve">Jiang, S., Dickey, T. D., Steinberg, D. K., &amp; Madin,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709D00B7" w14:textId="77777777" w:rsidR="00074D11" w:rsidRDefault="00074D11" w:rsidP="00EF63F8">
      <w:pPr>
        <w:pStyle w:val="Bibliography"/>
      </w:pPr>
      <w:r>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52315C93" w14:textId="77777777" w:rsidR="00074D11" w:rsidRDefault="00074D11" w:rsidP="00EF63F8">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4AB9430D" w14:textId="77777777" w:rsidR="00074D11" w:rsidRDefault="00074D11" w:rsidP="00EF63F8">
      <w:pPr>
        <w:pStyle w:val="Bibliography"/>
      </w:pPr>
      <w:r>
        <w:lastRenderedPageBreak/>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404E26C9" w14:textId="77777777" w:rsidR="00074D11" w:rsidRDefault="00074D11" w:rsidP="00EF63F8">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1132B76D" w14:textId="77777777" w:rsidR="00074D11" w:rsidRDefault="00074D11" w:rsidP="00EF63F8">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61B3923C" w14:textId="77777777" w:rsidR="00074D11" w:rsidRDefault="00074D11" w:rsidP="00EF63F8">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40FDE622" w14:textId="77777777" w:rsidR="00074D11" w:rsidRDefault="00074D11" w:rsidP="00EF63F8">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67727420" w14:textId="77777777" w:rsidR="00074D11" w:rsidRDefault="00074D11" w:rsidP="00EF63F8">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2CDDDE4C" w14:textId="77777777" w:rsidR="00074D11" w:rsidRDefault="00074D11" w:rsidP="00EF63F8">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56A5C7F3" w14:textId="77777777" w:rsidR="00074D11" w:rsidRDefault="00074D11" w:rsidP="00EF63F8">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30F493EA" w14:textId="77777777" w:rsidR="00074D11" w:rsidRDefault="00074D11" w:rsidP="00EF63F8">
      <w:pPr>
        <w:pStyle w:val="Bibliography"/>
      </w:pPr>
      <w:r>
        <w:lastRenderedPageBreak/>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31DB3B4B" w14:textId="77777777" w:rsidR="00074D11" w:rsidRDefault="00074D11" w:rsidP="00EF63F8">
      <w:pPr>
        <w:pStyle w:val="Bibliography"/>
      </w:pPr>
      <w:r>
        <w:t>Ooi, H. (2013, August 8). Where does the offset go in Poisson/negative binomial regression? Retrieved May 2, 2021, from https://stats.stackexchange.com/questions/66791/where-does-the-offset-go-in-poisson-negative-binomial-regression</w:t>
      </w:r>
    </w:p>
    <w:p w14:paraId="427E8A6E" w14:textId="77777777" w:rsidR="00074D11" w:rsidRDefault="00074D11" w:rsidP="00EF63F8">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0B91842B" w14:textId="77777777" w:rsidR="00074D11" w:rsidRDefault="00074D11" w:rsidP="00EF63F8">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68880FCE" w14:textId="77777777" w:rsidR="00074D11" w:rsidRDefault="00074D11" w:rsidP="00EF63F8">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46D335CA" w14:textId="77777777" w:rsidR="00074D11" w:rsidRDefault="00074D11" w:rsidP="00EF63F8">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2FC36C10" w14:textId="77777777" w:rsidR="00074D11" w:rsidRDefault="00074D11" w:rsidP="00EF63F8">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771567F1" w14:textId="77777777" w:rsidR="00074D11" w:rsidRDefault="00074D11" w:rsidP="00EF63F8">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0B41895B" w14:textId="77777777" w:rsidR="00074D11" w:rsidRDefault="00074D11" w:rsidP="00EF63F8">
      <w:pPr>
        <w:pStyle w:val="Bibliography"/>
      </w:pPr>
      <w:r>
        <w:t xml:space="preserve">Picheral, M., Colin, S., &amp; Irisson, J.-O. (2017). </w:t>
      </w:r>
      <w:r>
        <w:rPr>
          <w:i/>
          <w:iCs/>
        </w:rPr>
        <w:t>EcoTaxa, a tool for the taxonomic classification of images.</w:t>
      </w:r>
      <w:r>
        <w:t xml:space="preserve"> Retrieved from http://ecotaxa.obs-vlfr.fr</w:t>
      </w:r>
    </w:p>
    <w:p w14:paraId="6C3F24D3" w14:textId="77777777" w:rsidR="00074D11" w:rsidRDefault="00074D11" w:rsidP="00EF63F8">
      <w:pPr>
        <w:pStyle w:val="Bibliography"/>
      </w:pPr>
      <w:r>
        <w:lastRenderedPageBreak/>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4D749868" w14:textId="77777777" w:rsidR="00074D11" w:rsidRDefault="00074D11" w:rsidP="00EF63F8">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0D079B09" w14:textId="77777777" w:rsidR="00074D11" w:rsidRDefault="00074D11" w:rsidP="00EF63F8">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77D36628" w14:textId="77777777" w:rsidR="00074D11" w:rsidRDefault="00074D11" w:rsidP="00EF63F8">
      <w:pPr>
        <w:pStyle w:val="Bibliography"/>
      </w:pPr>
      <w:r>
        <w:t>Rocap, G., Keil, R., Devol, A., &amp; Deutsch, C. (2017). Water temperature, salinity, and other data from CTD taken from the RV Sikuliaq in the Pacific Ocean between San Diego, California and Manzanillo, Mexico from 2016-12-21 to 2017-01-13 (NCEI Accession 0164968). [Temperature, Salinity, Oxygen, Beam Attenuation, Fluorescence, PAR]. NOAA National Centers for Environmental Information. Retrieved from https://accession.nodc.noaa.gov/0164968</w:t>
      </w:r>
    </w:p>
    <w:p w14:paraId="04030E16" w14:textId="77777777" w:rsidR="00074D11" w:rsidRDefault="00074D11" w:rsidP="00EF63F8">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044017B8" w14:textId="77777777" w:rsidR="00074D11" w:rsidRDefault="00074D11" w:rsidP="00EF63F8">
      <w:pPr>
        <w:pStyle w:val="Bibliography"/>
      </w:pPr>
      <w:r>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29DAAA63" w14:textId="77777777" w:rsidR="00074D11" w:rsidRDefault="00074D11" w:rsidP="00EF63F8">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44C768D0" w14:textId="77777777" w:rsidR="00074D11" w:rsidRDefault="00074D11" w:rsidP="00EF63F8">
      <w:pPr>
        <w:pStyle w:val="Bibliography"/>
      </w:pPr>
      <w:r>
        <w:lastRenderedPageBreak/>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310CCD07" w14:textId="77777777" w:rsidR="00074D11" w:rsidRDefault="00074D11" w:rsidP="00EF63F8">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3225ABC" w14:textId="77777777" w:rsidR="00074D11" w:rsidRDefault="00074D11" w:rsidP="00EF63F8">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67FFCC4A" w14:textId="77777777" w:rsidR="00074D11" w:rsidRDefault="00074D11" w:rsidP="00EF63F8">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5B4D2599" w14:textId="77777777" w:rsidR="00074D11" w:rsidRDefault="00074D11" w:rsidP="00EF63F8">
      <w:pPr>
        <w:pStyle w:val="Bibliography"/>
      </w:pPr>
      <w:r>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39A83BF2" w14:textId="77777777" w:rsidR="00074D11" w:rsidRDefault="00074D11" w:rsidP="00EF63F8">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061072D5" w14:textId="77777777" w:rsidR="00074D11" w:rsidRDefault="00074D11" w:rsidP="00EF63F8">
      <w:pPr>
        <w:pStyle w:val="Bibliography"/>
      </w:pPr>
      <w:r>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40120688" w14:textId="77777777" w:rsidR="00074D11" w:rsidRDefault="00074D11" w:rsidP="00EF63F8">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0E916F3E" w14:textId="77777777" w:rsidR="00074D11" w:rsidRDefault="00074D11" w:rsidP="00EF63F8">
      <w:pPr>
        <w:pStyle w:val="Bibliography"/>
      </w:pPr>
      <w:r>
        <w:t xml:space="preserve">Tiano, L., Garcia-Robledo, E., Dalsgaard, T., Devol, A. H., Ward, B. B., Ulloa, O., et al. (2014). Oxygen distribution and aerobic respiration in the north and south eastern tropical Pacific oxygen </w:t>
      </w:r>
      <w:r>
        <w:lastRenderedPageBreak/>
        <w:t xml:space="preserve">minimum zones. </w:t>
      </w:r>
      <w:r>
        <w:rPr>
          <w:i/>
          <w:iCs/>
        </w:rPr>
        <w:t>Deep Sea Research Part I: Oceanographic Research Papers</w:t>
      </w:r>
      <w:r>
        <w:t xml:space="preserve">, </w:t>
      </w:r>
      <w:r>
        <w:rPr>
          <w:i/>
          <w:iCs/>
        </w:rPr>
        <w:t>94</w:t>
      </w:r>
      <w:r>
        <w:t>, 173–183. https://doi.org/10.1016/j.dsr.2014.10.001</w:t>
      </w:r>
    </w:p>
    <w:p w14:paraId="7C655D36" w14:textId="77777777" w:rsidR="00074D11" w:rsidRDefault="00074D11" w:rsidP="00EF63F8">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57B5C997" w14:textId="77777777" w:rsidR="00074D11" w:rsidRDefault="00074D11" w:rsidP="00EF63F8">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74039220" w14:textId="77777777" w:rsidR="00074D11" w:rsidRDefault="00074D11" w:rsidP="00EF63F8">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4809C186" w14:textId="77777777" w:rsidR="00074D11" w:rsidRDefault="00074D11" w:rsidP="00EF63F8">
      <w:pPr>
        <w:pStyle w:val="Bibliography"/>
      </w:pPr>
      <w:r>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3951FABC" w14:textId="77777777" w:rsidR="00074D11" w:rsidRDefault="00074D11" w:rsidP="00EF63F8">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190CDBF6" w14:textId="77777777" w:rsidR="00074D11" w:rsidRDefault="00074D11" w:rsidP="00EF63F8">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1D5F21CB" w14:textId="77777777" w:rsidR="00074D11" w:rsidRDefault="00074D11" w:rsidP="00EF63F8">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65A02FC7" w14:textId="77777777" w:rsidR="00074D11" w:rsidRDefault="00074D11" w:rsidP="00EF63F8">
      <w:pPr>
        <w:pStyle w:val="Bibliography"/>
      </w:pPr>
      <w:r>
        <w:lastRenderedPageBreak/>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4D55C6A0" w14:textId="77777777" w:rsidR="00074D11" w:rsidRDefault="00074D11" w:rsidP="00EF63F8">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4101DB9E" w:rsidR="00104E87" w:rsidRDefault="006B0287" w:rsidP="00EF63F8">
      <w:r>
        <w:fldChar w:fldCharType="end"/>
      </w:r>
    </w:p>
    <w:sectPr w:rsidR="00104E87" w:rsidSect="00EF63F8">
      <w:footerReference w:type="default" r:id="rId17"/>
      <w:footerReference w:type="first" r:id="rId18"/>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rsidP="00EF63F8">
      <w:r>
        <w:separator/>
      </w:r>
    </w:p>
  </w:endnote>
  <w:endnote w:type="continuationSeparator" w:id="0">
    <w:p w14:paraId="28DA3D03" w14:textId="77777777" w:rsidR="002015AD" w:rsidRDefault="002015AD" w:rsidP="00EF6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rsidP="00EF63F8">
      <w:r>
        <w:separator/>
      </w:r>
    </w:p>
  </w:footnote>
  <w:footnote w:type="continuationSeparator" w:id="0">
    <w:p w14:paraId="237589B4" w14:textId="77777777" w:rsidR="002015AD" w:rsidRDefault="002015AD" w:rsidP="00EF6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604AF"/>
    <w:rsid w:val="000703E1"/>
    <w:rsid w:val="00074D11"/>
    <w:rsid w:val="000A079F"/>
    <w:rsid w:val="000D0C72"/>
    <w:rsid w:val="000D7D0D"/>
    <w:rsid w:val="000F1AA1"/>
    <w:rsid w:val="0010137C"/>
    <w:rsid w:val="00104E87"/>
    <w:rsid w:val="00107BA2"/>
    <w:rsid w:val="00132F5F"/>
    <w:rsid w:val="0014548D"/>
    <w:rsid w:val="001A5B17"/>
    <w:rsid w:val="001F2172"/>
    <w:rsid w:val="001F5865"/>
    <w:rsid w:val="002015AD"/>
    <w:rsid w:val="00230576"/>
    <w:rsid w:val="002922A3"/>
    <w:rsid w:val="002A603B"/>
    <w:rsid w:val="002B345B"/>
    <w:rsid w:val="002D151D"/>
    <w:rsid w:val="002F2E8D"/>
    <w:rsid w:val="00304B9F"/>
    <w:rsid w:val="00315ACC"/>
    <w:rsid w:val="00374C9F"/>
    <w:rsid w:val="00394613"/>
    <w:rsid w:val="00395E7B"/>
    <w:rsid w:val="003B367B"/>
    <w:rsid w:val="003B6974"/>
    <w:rsid w:val="003C1A71"/>
    <w:rsid w:val="003D07DB"/>
    <w:rsid w:val="003D3B05"/>
    <w:rsid w:val="00416C6A"/>
    <w:rsid w:val="004A766D"/>
    <w:rsid w:val="004C1232"/>
    <w:rsid w:val="004C1D61"/>
    <w:rsid w:val="004D045E"/>
    <w:rsid w:val="004D07E5"/>
    <w:rsid w:val="004F02F7"/>
    <w:rsid w:val="004F704B"/>
    <w:rsid w:val="00537C42"/>
    <w:rsid w:val="00546A5D"/>
    <w:rsid w:val="005475B7"/>
    <w:rsid w:val="00565178"/>
    <w:rsid w:val="005A319B"/>
    <w:rsid w:val="005B08B6"/>
    <w:rsid w:val="005B22A5"/>
    <w:rsid w:val="005C5FA3"/>
    <w:rsid w:val="005C68C5"/>
    <w:rsid w:val="005D2833"/>
    <w:rsid w:val="005E0393"/>
    <w:rsid w:val="005F1A13"/>
    <w:rsid w:val="005F35A0"/>
    <w:rsid w:val="005F4E9C"/>
    <w:rsid w:val="006065A2"/>
    <w:rsid w:val="006330F2"/>
    <w:rsid w:val="0063459C"/>
    <w:rsid w:val="00663009"/>
    <w:rsid w:val="006932EA"/>
    <w:rsid w:val="006A6A8E"/>
    <w:rsid w:val="006B0287"/>
    <w:rsid w:val="006E0668"/>
    <w:rsid w:val="006E5628"/>
    <w:rsid w:val="00712F66"/>
    <w:rsid w:val="007262B8"/>
    <w:rsid w:val="0073043C"/>
    <w:rsid w:val="007424E6"/>
    <w:rsid w:val="00746CA9"/>
    <w:rsid w:val="00750A5E"/>
    <w:rsid w:val="00777545"/>
    <w:rsid w:val="007B69A1"/>
    <w:rsid w:val="007D3102"/>
    <w:rsid w:val="007E19EE"/>
    <w:rsid w:val="007E40D6"/>
    <w:rsid w:val="008072AE"/>
    <w:rsid w:val="0082101C"/>
    <w:rsid w:val="008422C4"/>
    <w:rsid w:val="00870FBD"/>
    <w:rsid w:val="008733EE"/>
    <w:rsid w:val="008A4608"/>
    <w:rsid w:val="008C51C0"/>
    <w:rsid w:val="00911372"/>
    <w:rsid w:val="00911970"/>
    <w:rsid w:val="00913083"/>
    <w:rsid w:val="00914454"/>
    <w:rsid w:val="0092306E"/>
    <w:rsid w:val="00935759"/>
    <w:rsid w:val="009942FC"/>
    <w:rsid w:val="009A3929"/>
    <w:rsid w:val="009A6364"/>
    <w:rsid w:val="009B2BA7"/>
    <w:rsid w:val="009B7381"/>
    <w:rsid w:val="009C493F"/>
    <w:rsid w:val="009C79F1"/>
    <w:rsid w:val="009E1DA2"/>
    <w:rsid w:val="009E7DEC"/>
    <w:rsid w:val="009F1B72"/>
    <w:rsid w:val="00A250C2"/>
    <w:rsid w:val="00A35D9B"/>
    <w:rsid w:val="00A935E8"/>
    <w:rsid w:val="00AD7CB1"/>
    <w:rsid w:val="00B04B63"/>
    <w:rsid w:val="00B05390"/>
    <w:rsid w:val="00B22615"/>
    <w:rsid w:val="00B25AB1"/>
    <w:rsid w:val="00B3090F"/>
    <w:rsid w:val="00B33156"/>
    <w:rsid w:val="00B42C8F"/>
    <w:rsid w:val="00B52614"/>
    <w:rsid w:val="00B61FFF"/>
    <w:rsid w:val="00B73EBD"/>
    <w:rsid w:val="00B87896"/>
    <w:rsid w:val="00B92929"/>
    <w:rsid w:val="00B945FB"/>
    <w:rsid w:val="00B9482F"/>
    <w:rsid w:val="00BF6DCA"/>
    <w:rsid w:val="00C204FE"/>
    <w:rsid w:val="00C42B62"/>
    <w:rsid w:val="00C66B70"/>
    <w:rsid w:val="00C92D2E"/>
    <w:rsid w:val="00CC1484"/>
    <w:rsid w:val="00CD1400"/>
    <w:rsid w:val="00CE3BC7"/>
    <w:rsid w:val="00CE44D1"/>
    <w:rsid w:val="00CF29F2"/>
    <w:rsid w:val="00CF7CA5"/>
    <w:rsid w:val="00D26EBD"/>
    <w:rsid w:val="00D357C6"/>
    <w:rsid w:val="00D63462"/>
    <w:rsid w:val="00D87184"/>
    <w:rsid w:val="00D95952"/>
    <w:rsid w:val="00DA717E"/>
    <w:rsid w:val="00DB0CA9"/>
    <w:rsid w:val="00DC428E"/>
    <w:rsid w:val="00DD1F8F"/>
    <w:rsid w:val="00DF46B2"/>
    <w:rsid w:val="00E041A0"/>
    <w:rsid w:val="00E1732C"/>
    <w:rsid w:val="00E442E8"/>
    <w:rsid w:val="00E63D2A"/>
    <w:rsid w:val="00EC3855"/>
    <w:rsid w:val="00EE494A"/>
    <w:rsid w:val="00EF63F8"/>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cramjaco/POMZ-ETNP-UVP-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38</Pages>
  <Words>59725</Words>
  <Characters>340435</Characters>
  <Application>Microsoft Office Word</Application>
  <DocSecurity>0</DocSecurity>
  <Lines>2836</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30</cp:revision>
  <dcterms:created xsi:type="dcterms:W3CDTF">2021-05-17T18:31:00Z</dcterms:created>
  <dcterms:modified xsi:type="dcterms:W3CDTF">2021-05-26T21:08:00Z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id="aq0VHZHw"/&gt;&lt;style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