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8742" w14:textId="77777777" w:rsidR="00915C29" w:rsidRDefault="00000000">
      <w:pPr>
        <w:spacing w:before="240" w:after="120"/>
      </w:pPr>
      <w:r>
        <w:rPr>
          <w:b/>
          <w:bCs/>
          <w:color w:val="1F3864"/>
          <w:sz w:val="52"/>
          <w:szCs w:val="52"/>
        </w:rPr>
        <w:t>NATA – Document Lifecycle Cleaner</w:t>
      </w:r>
    </w:p>
    <w:p w14:paraId="7BE38744" w14:textId="77777777" w:rsidR="00915C29" w:rsidRDefault="00000000">
      <w:pPr>
        <w:pStyle w:val="Heading1"/>
      </w:pPr>
      <w:r>
        <w:t>Goal</w:t>
      </w:r>
    </w:p>
    <w:p w14:paraId="7BE38745" w14:textId="61754455" w:rsidR="00915C29" w:rsidRDefault="00000000">
      <w:pPr>
        <w:spacing w:before="80" w:after="100"/>
      </w:pPr>
      <w:r>
        <w:rPr>
          <w:color w:val="000000"/>
        </w:rPr>
        <w:t xml:space="preserve">Delete documents and folders with a modification date less than or equal to a specified calendar </w:t>
      </w:r>
      <w:r w:rsidR="00604E6B">
        <w:rPr>
          <w:color w:val="000000"/>
        </w:rPr>
        <w:t>date and</w:t>
      </w:r>
      <w:r>
        <w:rPr>
          <w:color w:val="000000"/>
        </w:rPr>
        <w:t xml:space="preserve"> remove empty folders pertaining to a particular facility based on folder naming conventions.</w:t>
      </w:r>
    </w:p>
    <w:p w14:paraId="7BE38746" w14:textId="77777777" w:rsidR="00915C29" w:rsidRDefault="00000000">
      <w:pPr>
        <w:pStyle w:val="Heading1"/>
      </w:pPr>
      <w:r>
        <w:t>Context</w:t>
      </w:r>
    </w:p>
    <w:p w14:paraId="7BE38747" w14:textId="77777777" w:rsidR="00915C29" w:rsidRDefault="00000000">
      <w:pPr>
        <w:spacing w:before="80" w:after="100"/>
      </w:pPr>
      <w:r>
        <w:rPr>
          <w:color w:val="000000"/>
        </w:rPr>
        <w:t>NATA requires a yearly clean culling and deletion of all documents whose modification date falls on or before a specified calendar year-end date, as well as the removal of empty folders associated with a particular facility identified by acronym. This process is intended to be repeatable and automated on an annual basis.</w:t>
      </w:r>
    </w:p>
    <w:p w14:paraId="7BE38748" w14:textId="77777777" w:rsidR="00915C29" w:rsidRDefault="00000000">
      <w:pPr>
        <w:pStyle w:val="Heading1"/>
      </w:pPr>
      <w:r>
        <w:t>Parameters</w:t>
      </w:r>
    </w:p>
    <w:p w14:paraId="7BE38749" w14:textId="15AA8E78" w:rsidR="00915C29" w:rsidRDefault="00000000">
      <w:pPr>
        <w:spacing w:before="80" w:after="120"/>
      </w:pPr>
      <w:r>
        <w:rPr>
          <w:b/>
          <w:bCs/>
        </w:rPr>
        <w:t xml:space="preserve">Specified </w:t>
      </w:r>
      <w:r w:rsidR="00604E6B">
        <w:rPr>
          <w:b/>
          <w:bCs/>
        </w:rPr>
        <w:t>Date</w:t>
      </w:r>
      <w:r w:rsidR="00604E6B">
        <w:t xml:space="preserve"> </w:t>
      </w:r>
      <w:r w:rsidR="00E6112C">
        <w:t>— The</w:t>
      </w:r>
      <w:r>
        <w:t xml:space="preserve"> cutoff is a calendar year-end date (e.g. 31 December 2024). Documents with a modification date </w:t>
      </w:r>
      <w:r>
        <w:rPr>
          <w:i/>
          <w:iCs/>
        </w:rPr>
        <w:t>less than or equal to (≤)</w:t>
      </w:r>
      <w:r>
        <w:t xml:space="preserve"> this date are candidates for deletion.</w:t>
      </w:r>
    </w:p>
    <w:p w14:paraId="7BE3874A" w14:textId="77777777" w:rsidR="00915C29" w:rsidRDefault="00915C2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4E"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4B" w14:textId="14EBDE07" w:rsidR="00915C29" w:rsidRDefault="00604E6B">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4C" w14:textId="77777777" w:rsidR="00915C29" w:rsidRDefault="00000000">
            <w:pPr>
              <w:spacing w:before="40" w:after="40"/>
              <w:ind w:left="180"/>
            </w:pPr>
            <w:r>
              <w:rPr>
                <w:i/>
                <w:iCs/>
                <w:color w:val="5C4A00"/>
                <w:sz w:val="20"/>
                <w:szCs w:val="20"/>
              </w:rPr>
              <w:t>Who sets the specified date — an admin user within MAGIQ Documents, a system configuration value, or a runtime parameter passed to the process?</w:t>
            </w:r>
          </w:p>
          <w:p w14:paraId="7BE3874D" w14:textId="77777777" w:rsidR="00915C29" w:rsidRDefault="00000000">
            <w:pPr>
              <w:spacing w:before="40" w:after="40"/>
              <w:ind w:left="180"/>
            </w:pPr>
            <w:r>
              <w:rPr>
                <w:i/>
                <w:iCs/>
                <w:color w:val="5C4A00"/>
                <w:sz w:val="20"/>
                <w:szCs w:val="20"/>
              </w:rPr>
              <w:t>Who is responsible for running this process — a system administrator, a DBA with SQL access, or a MAGIQ Documents power user?</w:t>
            </w:r>
          </w:p>
        </w:tc>
      </w:tr>
    </w:tbl>
    <w:p w14:paraId="7BE3874F" w14:textId="77777777" w:rsidR="00915C29" w:rsidRDefault="00000000">
      <w:pPr>
        <w:pStyle w:val="Heading1"/>
      </w:pPr>
      <w:r>
        <w:t>Process Phases</w:t>
      </w:r>
    </w:p>
    <w:p w14:paraId="7BE38750" w14:textId="77777777" w:rsidR="00915C29" w:rsidRDefault="00000000">
      <w:pPr>
        <w:spacing w:before="80" w:after="100"/>
      </w:pPr>
      <w:r>
        <w:rPr>
          <w:color w:val="000000"/>
        </w:rPr>
        <w:t>The process is divided into four phases to clarify automation scope, tooling requirements, and responsibilities:</w:t>
      </w:r>
    </w:p>
    <w:p w14:paraId="7BE38751" w14:textId="77777777" w:rsidR="00915C29" w:rsidRDefault="00915C29">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915C29" w14:paraId="7BE38755"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E38752" w14:textId="77777777" w:rsidR="00915C29"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E38753" w14:textId="77777777" w:rsidR="00915C29" w:rsidRDefault="00000000">
            <w:r>
              <w:rPr>
                <w:b/>
                <w:bCs/>
                <w:color w:val="FFFFFF"/>
                <w:sz w:val="20"/>
                <w:szCs w:val="20"/>
              </w:rPr>
              <w:t>Steps</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E38754" w14:textId="77777777" w:rsidR="00915C29" w:rsidRDefault="00000000">
            <w:r>
              <w:rPr>
                <w:b/>
                <w:bCs/>
                <w:color w:val="FFFFFF"/>
                <w:sz w:val="20"/>
                <w:szCs w:val="20"/>
              </w:rPr>
              <w:t>Type</w:t>
            </w:r>
          </w:p>
        </w:tc>
      </w:tr>
      <w:tr w:rsidR="00915C29" w14:paraId="7BE3875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8756" w14:textId="77777777" w:rsidR="00915C29" w:rsidRDefault="00000000">
            <w:r>
              <w:rPr>
                <w:b/>
                <w:bCs/>
                <w:sz w:val="20"/>
                <w:szCs w:val="20"/>
              </w:rPr>
              <w:t>Phase 1: Identification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8757" w14:textId="77777777" w:rsidR="00915C29" w:rsidRDefault="00000000">
            <w:r>
              <w:rPr>
                <w:sz w:val="20"/>
                <w:szCs w:val="20"/>
              </w:rPr>
              <w:t>Steps 1 – 3</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8758" w14:textId="77777777" w:rsidR="00915C29" w:rsidRDefault="00000000">
            <w:r>
              <w:rPr>
                <w:sz w:val="20"/>
                <w:szCs w:val="20"/>
              </w:rPr>
              <w:t>Automated</w:t>
            </w:r>
          </w:p>
        </w:tc>
      </w:tr>
      <w:tr w:rsidR="00915C29" w14:paraId="7BE3875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875A" w14:textId="77777777" w:rsidR="00915C29" w:rsidRDefault="00000000">
            <w:r>
              <w:rPr>
                <w:b/>
                <w:bCs/>
                <w:sz w:val="20"/>
                <w:szCs w:val="20"/>
              </w:rPr>
              <w:t>Phase 2: Review &amp; Selection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875B" w14:textId="77777777" w:rsidR="00915C29" w:rsidRDefault="00000000">
            <w:r>
              <w:rPr>
                <w:sz w:val="20"/>
                <w:szCs w:val="20"/>
              </w:rPr>
              <w:t>Steps 4 – 6</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875C" w14:textId="20232EFC" w:rsidR="00915C29" w:rsidRDefault="001B7376">
            <w:r>
              <w:rPr>
                <w:sz w:val="20"/>
                <w:szCs w:val="20"/>
              </w:rPr>
              <w:t>Interactive (</w:t>
            </w:r>
            <w:r w:rsidR="00000000">
              <w:rPr>
                <w:sz w:val="20"/>
                <w:szCs w:val="20"/>
              </w:rPr>
              <w:t>React UI + .NET API)</w:t>
            </w:r>
          </w:p>
        </w:tc>
      </w:tr>
      <w:tr w:rsidR="00915C29" w14:paraId="7BE387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875E" w14:textId="77777777" w:rsidR="00915C29" w:rsidRDefault="00000000">
            <w:r>
              <w:rPr>
                <w:b/>
                <w:bCs/>
                <w:sz w:val="20"/>
                <w:szCs w:val="20"/>
              </w:rPr>
              <w:t>Phase 3: Archival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875F" w14:textId="77777777" w:rsidR="00915C29" w:rsidRDefault="00000000">
            <w:r>
              <w:rPr>
                <w:sz w:val="20"/>
                <w:szCs w:val="20"/>
              </w:rPr>
              <w:t>Steps 7 – 9</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8760" w14:textId="77777777" w:rsidR="00915C29" w:rsidRDefault="00000000">
            <w:r>
              <w:rPr>
                <w:sz w:val="20"/>
                <w:szCs w:val="20"/>
              </w:rPr>
              <w:t>Operational</w:t>
            </w:r>
          </w:p>
        </w:tc>
      </w:tr>
      <w:tr w:rsidR="00915C29" w14:paraId="7BE3876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8762" w14:textId="77777777" w:rsidR="00915C29" w:rsidRDefault="00000000">
            <w:r>
              <w:rPr>
                <w:b/>
                <w:bCs/>
                <w:sz w:val="20"/>
                <w:szCs w:val="20"/>
              </w:rPr>
              <w:t>Phase 4: Cleanup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8763" w14:textId="77777777" w:rsidR="00915C29" w:rsidRDefault="00000000">
            <w:r>
              <w:rPr>
                <w:sz w:val="20"/>
                <w:szCs w:val="20"/>
              </w:rPr>
              <w:t>Steps 10 – 12</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8764" w14:textId="77777777" w:rsidR="00915C29" w:rsidRDefault="00000000">
            <w:r>
              <w:rPr>
                <w:sz w:val="20"/>
                <w:szCs w:val="20"/>
              </w:rPr>
              <w:t>Automated / System</w:t>
            </w:r>
          </w:p>
        </w:tc>
      </w:tr>
    </w:tbl>
    <w:p w14:paraId="7BE38766" w14:textId="2F566B6D" w:rsidR="00915C29" w:rsidRDefault="00206AAF">
      <w:pPr>
        <w:pStyle w:val="Heading1"/>
      </w:pPr>
      <w:r>
        <w:lastRenderedPageBreak/>
        <w:br/>
        <w:t>The Process</w:t>
      </w:r>
    </w:p>
    <w:p w14:paraId="7BE38767" w14:textId="77777777" w:rsidR="00915C29" w:rsidRDefault="00000000">
      <w:pPr>
        <w:pBdr>
          <w:bottom w:val="single" w:sz="2" w:space="4" w:color="DEEAF1"/>
        </w:pBdr>
        <w:spacing w:before="360" w:after="80"/>
      </w:pPr>
      <w:r>
        <w:rPr>
          <w:b/>
          <w:bCs/>
          <w:color w:val="2E75B6"/>
          <w:sz w:val="26"/>
          <w:szCs w:val="26"/>
        </w:rPr>
        <w:t>Phase 1 — Identification</w:t>
      </w:r>
    </w:p>
    <w:p w14:paraId="7BE38768" w14:textId="6138000C" w:rsidR="00915C29" w:rsidRDefault="00000000">
      <w:pPr>
        <w:spacing w:before="280" w:after="100"/>
      </w:pPr>
      <w:r>
        <w:rPr>
          <w:b/>
          <w:bCs/>
          <w:color w:val="2E75B6"/>
          <w:sz w:val="24"/>
          <w:szCs w:val="24"/>
        </w:rPr>
        <w:t xml:space="preserve">Step </w:t>
      </w:r>
      <w:r w:rsidR="00604E6B">
        <w:rPr>
          <w:b/>
          <w:bCs/>
          <w:color w:val="2E75B6"/>
          <w:sz w:val="24"/>
          <w:szCs w:val="24"/>
        </w:rPr>
        <w:t>1</w:t>
      </w:r>
      <w:r w:rsidR="00604E6B">
        <w:rPr>
          <w:b/>
          <w:bCs/>
          <w:color w:val="1F3864"/>
          <w:sz w:val="24"/>
          <w:szCs w:val="24"/>
        </w:rPr>
        <w:t xml:space="preserve"> — Retrieve</w:t>
      </w:r>
      <w:r>
        <w:rPr>
          <w:b/>
          <w:bCs/>
          <w:color w:val="1F3864"/>
          <w:sz w:val="24"/>
          <w:szCs w:val="24"/>
        </w:rPr>
        <w:t xml:space="preserve"> candidate documents</w:t>
      </w:r>
    </w:p>
    <w:p w14:paraId="7BE38769" w14:textId="77777777" w:rsidR="00915C29" w:rsidRDefault="00000000">
      <w:pPr>
        <w:spacing w:before="80" w:after="100"/>
      </w:pPr>
      <w:r>
        <w:rPr>
          <w:color w:val="000000"/>
        </w:rPr>
        <w:t>Execute the pre-configured SQL query to retrieve all documents from the database where the modification date is less than or equal to the specified calendar date. The query is defined and maintained at the system configuration level so that schema changes can be accommodated without requiring code changes.</w:t>
      </w:r>
    </w:p>
    <w:p w14:paraId="7BE3876A" w14:textId="77777777" w:rsidR="00915C29" w:rsidRDefault="00915C29">
      <w:pPr>
        <w:spacing w:before="80"/>
      </w:pPr>
    </w:p>
    <w:p w14:paraId="7BE3876B" w14:textId="15C2F2E8" w:rsidR="00915C29" w:rsidRDefault="00000000">
      <w:pPr>
        <w:spacing w:before="280" w:after="100"/>
      </w:pPr>
      <w:r>
        <w:rPr>
          <w:b/>
          <w:bCs/>
          <w:color w:val="2E75B6"/>
          <w:sz w:val="24"/>
          <w:szCs w:val="24"/>
        </w:rPr>
        <w:t xml:space="preserve">Step </w:t>
      </w:r>
      <w:r w:rsidR="00604E6B">
        <w:rPr>
          <w:b/>
          <w:bCs/>
          <w:color w:val="2E75B6"/>
          <w:sz w:val="24"/>
          <w:szCs w:val="24"/>
        </w:rPr>
        <w:t>2</w:t>
      </w:r>
      <w:r w:rsidR="00604E6B">
        <w:rPr>
          <w:b/>
          <w:bCs/>
          <w:color w:val="1F3864"/>
          <w:sz w:val="24"/>
          <w:szCs w:val="24"/>
        </w:rPr>
        <w:t xml:space="preserve"> — Apply</w:t>
      </w:r>
      <w:r>
        <w:rPr>
          <w:b/>
          <w:bCs/>
          <w:color w:val="1F3864"/>
          <w:sz w:val="24"/>
          <w:szCs w:val="24"/>
        </w:rPr>
        <w:t xml:space="preserve"> Document Register query</w:t>
      </w:r>
    </w:p>
    <w:p w14:paraId="7BE3876C" w14:textId="77777777" w:rsidR="00915C29" w:rsidRDefault="00000000">
      <w:pPr>
        <w:spacing w:before="80" w:after="100"/>
      </w:pPr>
      <w:r>
        <w:rPr>
          <w:color w:val="000000"/>
        </w:rPr>
        <w:t>Use the existing pre-configured SQL query for the Document Register report as the base. This query is maintained at the system configuration level and can be updated independently when the schema changes. Extend the output to include any additional fields required for NATA's process beyond what the standard report provides.</w:t>
      </w:r>
    </w:p>
    <w:p w14:paraId="7BE3876D" w14:textId="77777777" w:rsidR="00915C29" w:rsidRDefault="00915C2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70"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6E" w14:textId="6D562425" w:rsidR="00915C29" w:rsidRDefault="00604E6B">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6F" w14:textId="77777777" w:rsidR="00915C29" w:rsidRDefault="00000000">
            <w:pPr>
              <w:spacing w:before="40" w:after="40"/>
              <w:ind w:left="180"/>
            </w:pPr>
            <w:r>
              <w:rPr>
                <w:i/>
                <w:iCs/>
                <w:color w:val="5C4A00"/>
                <w:sz w:val="20"/>
                <w:szCs w:val="20"/>
              </w:rPr>
              <w:t>What specific fields does NATA require in the output beyond what the Document Register query currently provides?</w:t>
            </w:r>
          </w:p>
        </w:tc>
      </w:tr>
    </w:tbl>
    <w:p w14:paraId="7BE38771" w14:textId="77777777" w:rsidR="00915C29" w:rsidRDefault="00915C29">
      <w:pPr>
        <w:spacing w:before="80"/>
      </w:pPr>
    </w:p>
    <w:p w14:paraId="7BE38772" w14:textId="531A0B86" w:rsidR="00915C29" w:rsidRDefault="00000000">
      <w:pPr>
        <w:spacing w:before="280" w:after="100"/>
      </w:pPr>
      <w:r>
        <w:rPr>
          <w:b/>
          <w:bCs/>
          <w:color w:val="2E75B6"/>
          <w:sz w:val="24"/>
          <w:szCs w:val="24"/>
        </w:rPr>
        <w:t xml:space="preserve">Step </w:t>
      </w:r>
      <w:r w:rsidR="00604E6B">
        <w:rPr>
          <w:b/>
          <w:bCs/>
          <w:color w:val="2E75B6"/>
          <w:sz w:val="24"/>
          <w:szCs w:val="24"/>
        </w:rPr>
        <w:t>3</w:t>
      </w:r>
      <w:r w:rsidR="00604E6B">
        <w:rPr>
          <w:b/>
          <w:bCs/>
          <w:color w:val="1F3864"/>
          <w:sz w:val="24"/>
          <w:szCs w:val="24"/>
        </w:rPr>
        <w:t xml:space="preserve"> — Export</w:t>
      </w:r>
      <w:r>
        <w:rPr>
          <w:b/>
          <w:bCs/>
          <w:color w:val="1F3864"/>
          <w:sz w:val="24"/>
          <w:szCs w:val="24"/>
        </w:rPr>
        <w:t xml:space="preserve"> results to Excel and archive</w:t>
      </w:r>
    </w:p>
    <w:p w14:paraId="7BE38773" w14:textId="77777777" w:rsidR="00915C29" w:rsidRDefault="00000000">
      <w:pPr>
        <w:spacing w:before="80" w:after="100"/>
      </w:pPr>
      <w:r>
        <w:rPr>
          <w:color w:val="000000"/>
        </w:rPr>
        <w:t>Copy the query results to an Excel spreadsheet. Save and upload the spreadsheet into MAGIQ Documents so that any document can be located by reference after deletion has occurred.</w:t>
      </w:r>
    </w:p>
    <w:p w14:paraId="7BE38774" w14:textId="77777777" w:rsidR="00915C29" w:rsidRDefault="00915C2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79"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75" w14:textId="6A0BD915" w:rsidR="00915C29" w:rsidRDefault="00604E6B">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76" w14:textId="77777777" w:rsidR="00915C29" w:rsidRDefault="00000000">
            <w:pPr>
              <w:spacing w:before="40" w:after="40"/>
              <w:ind w:left="180"/>
            </w:pPr>
            <w:r>
              <w:rPr>
                <w:i/>
                <w:iCs/>
                <w:color w:val="5C4A00"/>
                <w:sz w:val="20"/>
                <w:szCs w:val="20"/>
              </w:rPr>
              <w:t>What is the required retention period for the Excel archive spreadsheet, and who is responsible for maintaining it?</w:t>
            </w:r>
          </w:p>
          <w:p w14:paraId="7BE38777" w14:textId="77777777" w:rsidR="00915C29" w:rsidRDefault="00000000">
            <w:pPr>
              <w:spacing w:before="40" w:after="40"/>
              <w:ind w:left="180"/>
            </w:pPr>
            <w:r>
              <w:rPr>
                <w:i/>
                <w:iCs/>
                <w:color w:val="5C4A00"/>
                <w:sz w:val="20"/>
                <w:szCs w:val="20"/>
              </w:rPr>
              <w:t>Does this spreadsheet satisfy any audit or compliance requirement? If so, what fields must be included and is approval required before the process can proceed?</w:t>
            </w:r>
          </w:p>
          <w:p w14:paraId="7BE38778" w14:textId="77777777" w:rsidR="00915C29" w:rsidRDefault="00000000">
            <w:pPr>
              <w:spacing w:before="40" w:after="40"/>
              <w:ind w:left="180"/>
            </w:pPr>
            <w:r>
              <w:rPr>
                <w:i/>
                <w:iCs/>
                <w:color w:val="5C4A00"/>
                <w:sz w:val="20"/>
                <w:szCs w:val="20"/>
              </w:rPr>
              <w:t>Where in MAGIQ Documents should the spreadsheet be saved — which library, folder, or location?</w:t>
            </w:r>
          </w:p>
        </w:tc>
      </w:tr>
    </w:tbl>
    <w:p w14:paraId="7BE3877A" w14:textId="77777777" w:rsidR="00915C29" w:rsidRDefault="00915C29">
      <w:pPr>
        <w:spacing w:before="80"/>
      </w:pPr>
    </w:p>
    <w:p w14:paraId="2A86E053" w14:textId="77777777" w:rsidR="0026296C" w:rsidRDefault="0026296C">
      <w:pPr>
        <w:pBdr>
          <w:bottom w:val="single" w:sz="2" w:space="4" w:color="DEEAF1"/>
        </w:pBdr>
        <w:spacing w:before="360" w:after="80"/>
        <w:rPr>
          <w:b/>
          <w:bCs/>
          <w:color w:val="2E75B6"/>
          <w:sz w:val="26"/>
          <w:szCs w:val="26"/>
        </w:rPr>
      </w:pPr>
      <w:r>
        <w:rPr>
          <w:b/>
          <w:bCs/>
          <w:color w:val="2E75B6"/>
          <w:sz w:val="26"/>
          <w:szCs w:val="26"/>
        </w:rPr>
        <w:br/>
      </w:r>
    </w:p>
    <w:p w14:paraId="4B394A0C" w14:textId="77777777" w:rsidR="0026296C" w:rsidRDefault="0026296C">
      <w:pPr>
        <w:rPr>
          <w:b/>
          <w:bCs/>
          <w:color w:val="2E75B6"/>
          <w:sz w:val="26"/>
          <w:szCs w:val="26"/>
        </w:rPr>
      </w:pPr>
      <w:r>
        <w:rPr>
          <w:b/>
          <w:bCs/>
          <w:color w:val="2E75B6"/>
          <w:sz w:val="26"/>
          <w:szCs w:val="26"/>
        </w:rPr>
        <w:br w:type="page"/>
      </w:r>
    </w:p>
    <w:p w14:paraId="7BE3877B" w14:textId="1358A832" w:rsidR="00915C29" w:rsidRDefault="00000000">
      <w:pPr>
        <w:pBdr>
          <w:bottom w:val="single" w:sz="2" w:space="4" w:color="DEEAF1"/>
        </w:pBdr>
        <w:spacing w:before="360" w:after="80"/>
      </w:pPr>
      <w:r>
        <w:rPr>
          <w:b/>
          <w:bCs/>
          <w:color w:val="2E75B6"/>
          <w:sz w:val="26"/>
          <w:szCs w:val="26"/>
        </w:rPr>
        <w:lastRenderedPageBreak/>
        <w:t>Phase 2 — Review &amp; Selection</w:t>
      </w:r>
    </w:p>
    <w:p w14:paraId="7BE3877C" w14:textId="3EECA64F" w:rsidR="00915C29" w:rsidRDefault="00000000">
      <w:pPr>
        <w:spacing w:before="280" w:after="100"/>
      </w:pPr>
      <w:r>
        <w:rPr>
          <w:b/>
          <w:bCs/>
          <w:color w:val="2E75B6"/>
          <w:sz w:val="24"/>
          <w:szCs w:val="24"/>
        </w:rPr>
        <w:t xml:space="preserve">Step </w:t>
      </w:r>
      <w:r w:rsidR="00604E6B">
        <w:rPr>
          <w:b/>
          <w:bCs/>
          <w:color w:val="2E75B6"/>
          <w:sz w:val="24"/>
          <w:szCs w:val="24"/>
        </w:rPr>
        <w:t>4</w:t>
      </w:r>
      <w:r w:rsidR="00604E6B">
        <w:rPr>
          <w:b/>
          <w:bCs/>
          <w:color w:val="1F3864"/>
          <w:sz w:val="24"/>
          <w:szCs w:val="24"/>
        </w:rPr>
        <w:t xml:space="preserve"> — Produce</w:t>
      </w:r>
      <w:r>
        <w:rPr>
          <w:b/>
          <w:bCs/>
          <w:color w:val="1F3864"/>
          <w:sz w:val="24"/>
          <w:szCs w:val="24"/>
        </w:rPr>
        <w:t xml:space="preserve"> a list of candidate folders</w:t>
      </w:r>
    </w:p>
    <w:p w14:paraId="7BE3877D" w14:textId="77777777" w:rsidR="00915C29" w:rsidRDefault="00000000">
      <w:pPr>
        <w:spacing w:before="80" w:after="100"/>
      </w:pPr>
      <w:r>
        <w:rPr>
          <w:color w:val="000000"/>
        </w:rPr>
        <w:t>Using the documents identified in Step 1, generate a list of all containing folders. This list will be used in Step 6 to determine which folders are candidates for deletion or retention.</w:t>
      </w:r>
    </w:p>
    <w:p w14:paraId="7BE3877E" w14:textId="77777777" w:rsidR="00915C29" w:rsidRDefault="00915C2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82"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7F" w14:textId="5795B32B" w:rsidR="00915C29" w:rsidRDefault="00604E6B">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80" w14:textId="77777777" w:rsidR="00915C29" w:rsidRDefault="00000000">
            <w:pPr>
              <w:spacing w:before="40" w:after="40"/>
              <w:ind w:left="180"/>
            </w:pPr>
            <w:r>
              <w:rPr>
                <w:i/>
                <w:iCs/>
                <w:color w:val="5C4A00"/>
                <w:sz w:val="20"/>
                <w:szCs w:val="20"/>
              </w:rPr>
              <w:t>Does a single document with a modification date after the specified date protect only its immediate parent folder, or does it protect the entire ancestor folder hierarchy?</w:t>
            </w:r>
          </w:p>
          <w:p w14:paraId="7BE38781" w14:textId="77777777" w:rsidR="00915C29" w:rsidRDefault="00000000">
            <w:pPr>
              <w:spacing w:before="40" w:after="40"/>
              <w:ind w:left="180"/>
            </w:pPr>
            <w:r>
              <w:rPr>
                <w:i/>
                <w:iCs/>
                <w:color w:val="5C4A00"/>
                <w:sz w:val="20"/>
                <w:szCs w:val="20"/>
              </w:rPr>
              <w:t xml:space="preserve">How should nested folders be handled? If a parent contains a mix of </w:t>
            </w:r>
            <w:proofErr w:type="spellStart"/>
            <w:r>
              <w:rPr>
                <w:i/>
                <w:iCs/>
                <w:color w:val="5C4A00"/>
                <w:sz w:val="20"/>
                <w:szCs w:val="20"/>
              </w:rPr>
              <w:t>deletable</w:t>
            </w:r>
            <w:proofErr w:type="spellEnd"/>
            <w:r>
              <w:rPr>
                <w:i/>
                <w:iCs/>
                <w:color w:val="5C4A00"/>
                <w:sz w:val="20"/>
                <w:szCs w:val="20"/>
              </w:rPr>
              <w:t xml:space="preserve"> and non-</w:t>
            </w:r>
            <w:proofErr w:type="spellStart"/>
            <w:r>
              <w:rPr>
                <w:i/>
                <w:iCs/>
                <w:color w:val="5C4A00"/>
                <w:sz w:val="20"/>
                <w:szCs w:val="20"/>
              </w:rPr>
              <w:t>deletable</w:t>
            </w:r>
            <w:proofErr w:type="spellEnd"/>
            <w:r>
              <w:rPr>
                <w:i/>
                <w:iCs/>
                <w:color w:val="5C4A00"/>
                <w:sz w:val="20"/>
                <w:szCs w:val="20"/>
              </w:rPr>
              <w:t xml:space="preserve"> subfolders, does the parent remain? If the parent becomes empty after child deletion, should it then be removed?</w:t>
            </w:r>
          </w:p>
        </w:tc>
      </w:tr>
    </w:tbl>
    <w:p w14:paraId="7BE38783" w14:textId="77777777" w:rsidR="00915C29" w:rsidRDefault="00915C29">
      <w:pPr>
        <w:spacing w:before="80"/>
      </w:pPr>
    </w:p>
    <w:p w14:paraId="7BE38784" w14:textId="07C81836" w:rsidR="00915C29" w:rsidRDefault="00000000">
      <w:pPr>
        <w:spacing w:before="280" w:after="100"/>
      </w:pPr>
      <w:r>
        <w:rPr>
          <w:b/>
          <w:bCs/>
          <w:color w:val="2E75B6"/>
          <w:sz w:val="24"/>
          <w:szCs w:val="24"/>
        </w:rPr>
        <w:t xml:space="preserve">Step </w:t>
      </w:r>
      <w:r w:rsidR="00604E6B">
        <w:rPr>
          <w:b/>
          <w:bCs/>
          <w:color w:val="2E75B6"/>
          <w:sz w:val="24"/>
          <w:szCs w:val="24"/>
        </w:rPr>
        <w:t>5</w:t>
      </w:r>
      <w:r w:rsidR="00604E6B">
        <w:rPr>
          <w:b/>
          <w:bCs/>
          <w:color w:val="1F3864"/>
          <w:sz w:val="24"/>
          <w:szCs w:val="24"/>
        </w:rPr>
        <w:t xml:space="preserve"> </w:t>
      </w:r>
      <w:r w:rsidR="0026296C">
        <w:rPr>
          <w:b/>
          <w:bCs/>
          <w:color w:val="1F3864"/>
          <w:sz w:val="24"/>
          <w:szCs w:val="24"/>
        </w:rPr>
        <w:t>— Generate</w:t>
      </w:r>
      <w:r>
        <w:rPr>
          <w:b/>
          <w:bCs/>
          <w:color w:val="1F3864"/>
          <w:sz w:val="24"/>
          <w:szCs w:val="24"/>
        </w:rPr>
        <w:t xml:space="preserve"> folder paths via SQL</w:t>
      </w:r>
    </w:p>
    <w:p w14:paraId="7BE38785" w14:textId="77777777" w:rsidR="00915C29" w:rsidRDefault="00000000">
      <w:pPr>
        <w:spacing w:before="80" w:after="100"/>
      </w:pPr>
      <w:r>
        <w:rPr>
          <w:color w:val="000000"/>
        </w:rPr>
        <w:t>Using the folder IDs produced in Step 4, execute a SQL query that returns the full resolved folder paths. These paths will be surfaced in the review UI in Step 6.</w:t>
      </w:r>
    </w:p>
    <w:p w14:paraId="7BE38786" w14:textId="77777777" w:rsidR="00915C29" w:rsidRDefault="00915C29">
      <w:pPr>
        <w:spacing w:before="80"/>
      </w:pPr>
    </w:p>
    <w:p w14:paraId="7BE38787" w14:textId="4326FA5D" w:rsidR="00915C29" w:rsidRDefault="00000000">
      <w:pPr>
        <w:spacing w:before="280" w:after="100"/>
      </w:pPr>
      <w:r>
        <w:rPr>
          <w:b/>
          <w:bCs/>
          <w:color w:val="2E75B6"/>
          <w:sz w:val="24"/>
          <w:szCs w:val="24"/>
        </w:rPr>
        <w:t xml:space="preserve">Step </w:t>
      </w:r>
      <w:r w:rsidR="00604E6B">
        <w:rPr>
          <w:b/>
          <w:bCs/>
          <w:color w:val="2E75B6"/>
          <w:sz w:val="24"/>
          <w:szCs w:val="24"/>
        </w:rPr>
        <w:t>6</w:t>
      </w:r>
      <w:r w:rsidR="00604E6B">
        <w:rPr>
          <w:b/>
          <w:bCs/>
          <w:color w:val="1F3864"/>
          <w:sz w:val="24"/>
          <w:szCs w:val="24"/>
        </w:rPr>
        <w:t xml:space="preserve"> </w:t>
      </w:r>
      <w:r w:rsidR="0026296C">
        <w:rPr>
          <w:b/>
          <w:bCs/>
          <w:color w:val="1F3864"/>
          <w:sz w:val="24"/>
          <w:szCs w:val="24"/>
        </w:rPr>
        <w:t>— Review</w:t>
      </w:r>
      <w:r>
        <w:rPr>
          <w:b/>
          <w:bCs/>
          <w:color w:val="1F3864"/>
          <w:sz w:val="24"/>
          <w:szCs w:val="24"/>
        </w:rPr>
        <w:t xml:space="preserve"> and select folders to delete or </w:t>
      </w:r>
      <w:r w:rsidR="0026296C">
        <w:rPr>
          <w:b/>
          <w:bCs/>
          <w:color w:val="1F3864"/>
          <w:sz w:val="24"/>
          <w:szCs w:val="24"/>
        </w:rPr>
        <w:t>keep (</w:t>
      </w:r>
      <w:r>
        <w:rPr>
          <w:b/>
          <w:bCs/>
          <w:color w:val="1F3864"/>
          <w:sz w:val="24"/>
          <w:szCs w:val="24"/>
        </w:rPr>
        <w:t>React UI + .NET API)</w:t>
      </w:r>
    </w:p>
    <w:p w14:paraId="7BE38788" w14:textId="77777777" w:rsidR="00915C29" w:rsidRDefault="00000000">
      <w:pPr>
        <w:spacing w:before="80" w:after="100"/>
      </w:pPr>
      <w:r>
        <w:rPr>
          <w:color w:val="000000"/>
        </w:rPr>
        <w:t xml:space="preserve">A React-based UI presents NATA with the full list of candidate folders and their resolved paths. NATA selects which folders to delete or retain. Folders matching the </w:t>
      </w:r>
      <w:proofErr w:type="spellStart"/>
      <w:r>
        <w:rPr>
          <w:color w:val="000000"/>
        </w:rPr>
        <w:t>deletable</w:t>
      </w:r>
      <w:proofErr w:type="spellEnd"/>
      <w:r>
        <w:rPr>
          <w:color w:val="000000"/>
        </w:rPr>
        <w:t xml:space="preserve"> naming conventions (see section below) are pre-selected for deletion and cannot be overridden by the user.</w:t>
      </w:r>
    </w:p>
    <w:p w14:paraId="7BE38789" w14:textId="77777777" w:rsidR="00915C29" w:rsidRDefault="00000000">
      <w:pPr>
        <w:spacing w:before="80" w:after="100"/>
      </w:pPr>
      <w:r>
        <w:rPr>
          <w:color w:val="000000"/>
        </w:rPr>
        <w:t>This step also captures NATA's decisions about which documents or document categories should be retained regardless of modification date, replacing the previously planned separate step.</w:t>
      </w:r>
    </w:p>
    <w:p w14:paraId="7BE3878A" w14:textId="77777777" w:rsidR="00915C29" w:rsidRDefault="00915C2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8E"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8B" w14:textId="59931EA1" w:rsidR="00915C29" w:rsidRDefault="0026296C">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8C" w14:textId="77777777" w:rsidR="00915C29" w:rsidRDefault="00000000">
            <w:pPr>
              <w:spacing w:before="40" w:after="40"/>
              <w:ind w:left="180"/>
            </w:pPr>
            <w:r>
              <w:rPr>
                <w:i/>
                <w:iCs/>
                <w:color w:val="5C4A00"/>
                <w:sz w:val="20"/>
                <w:szCs w:val="20"/>
              </w:rPr>
              <w:t>Should the UI support filtering or searching the folder list? What display columns are required — e.g. folder path, document count, date range, assigned facility?</w:t>
            </w:r>
          </w:p>
          <w:p w14:paraId="7BE3878D" w14:textId="77777777" w:rsidR="00915C29" w:rsidRDefault="00000000">
            <w:pPr>
              <w:spacing w:before="40" w:after="40"/>
              <w:ind w:left="180"/>
            </w:pPr>
            <w:r>
              <w:rPr>
                <w:i/>
                <w:iCs/>
                <w:color w:val="5C4A00"/>
                <w:sz w:val="20"/>
                <w:szCs w:val="20"/>
              </w:rPr>
              <w:t>Are there specific document types, statuses, or categories that must always be preserved regardless of modification date or folder? If so, enumerate them.</w:t>
            </w:r>
          </w:p>
        </w:tc>
      </w:tr>
    </w:tbl>
    <w:p w14:paraId="7BE3878F" w14:textId="77777777" w:rsidR="00915C29" w:rsidRDefault="00915C29">
      <w:pPr>
        <w:spacing w:before="80"/>
      </w:pPr>
    </w:p>
    <w:p w14:paraId="48750660" w14:textId="77777777" w:rsidR="0026296C" w:rsidRDefault="0026296C">
      <w:pPr>
        <w:rPr>
          <w:b/>
          <w:bCs/>
          <w:color w:val="2E75B6"/>
          <w:sz w:val="26"/>
          <w:szCs w:val="26"/>
        </w:rPr>
      </w:pPr>
      <w:r>
        <w:rPr>
          <w:b/>
          <w:bCs/>
          <w:color w:val="2E75B6"/>
          <w:sz w:val="26"/>
          <w:szCs w:val="26"/>
        </w:rPr>
        <w:br w:type="page"/>
      </w:r>
    </w:p>
    <w:p w14:paraId="7BE38790" w14:textId="7C0AE15F" w:rsidR="00915C29" w:rsidRDefault="00000000">
      <w:pPr>
        <w:pBdr>
          <w:bottom w:val="single" w:sz="2" w:space="4" w:color="DEEAF1"/>
        </w:pBdr>
        <w:spacing w:before="360" w:after="80"/>
      </w:pPr>
      <w:r>
        <w:rPr>
          <w:b/>
          <w:bCs/>
          <w:color w:val="2E75B6"/>
          <w:sz w:val="26"/>
          <w:szCs w:val="26"/>
        </w:rPr>
        <w:lastRenderedPageBreak/>
        <w:t>Phase 3 — Archival</w:t>
      </w:r>
    </w:p>
    <w:p w14:paraId="7BE38791" w14:textId="24B12FB2" w:rsidR="00915C29" w:rsidRDefault="00000000">
      <w:pPr>
        <w:spacing w:before="280" w:after="100"/>
      </w:pPr>
      <w:r>
        <w:rPr>
          <w:b/>
          <w:bCs/>
          <w:color w:val="2E75B6"/>
          <w:sz w:val="24"/>
          <w:szCs w:val="24"/>
        </w:rPr>
        <w:t xml:space="preserve">Step </w:t>
      </w:r>
      <w:r w:rsidR="00604E6B">
        <w:rPr>
          <w:b/>
          <w:bCs/>
          <w:color w:val="2E75B6"/>
          <w:sz w:val="24"/>
          <w:szCs w:val="24"/>
        </w:rPr>
        <w:t>7</w:t>
      </w:r>
      <w:r w:rsidR="00604E6B">
        <w:rPr>
          <w:b/>
          <w:bCs/>
          <w:color w:val="1F3864"/>
          <w:sz w:val="24"/>
          <w:szCs w:val="24"/>
        </w:rPr>
        <w:t xml:space="preserve"> — Confirm</w:t>
      </w:r>
      <w:r>
        <w:rPr>
          <w:b/>
          <w:bCs/>
          <w:color w:val="1F3864"/>
          <w:sz w:val="24"/>
          <w:szCs w:val="24"/>
        </w:rPr>
        <w:t xml:space="preserve"> and execute folder </w:t>
      </w:r>
      <w:r w:rsidR="00604E6B">
        <w:rPr>
          <w:b/>
          <w:bCs/>
          <w:color w:val="1F3864"/>
          <w:sz w:val="24"/>
          <w:szCs w:val="24"/>
        </w:rPr>
        <w:t>deletes (</w:t>
      </w:r>
      <w:r>
        <w:rPr>
          <w:b/>
          <w:bCs/>
          <w:color w:val="1F3864"/>
          <w:sz w:val="24"/>
          <w:szCs w:val="24"/>
        </w:rPr>
        <w:t>React UI + .NET API)</w:t>
      </w:r>
    </w:p>
    <w:p w14:paraId="7BE38792" w14:textId="77777777" w:rsidR="00915C29" w:rsidRDefault="00000000">
      <w:pPr>
        <w:spacing w:before="80" w:after="100"/>
      </w:pPr>
      <w:r>
        <w:rPr>
          <w:color w:val="000000"/>
        </w:rPr>
        <w:t>The React UI presents a confirmation screen listing all folders selected for deletion. NATA must explicitly approve before the .NET backend API executes any deletions.</w:t>
      </w:r>
    </w:p>
    <w:p w14:paraId="7BE38793" w14:textId="77777777" w:rsidR="00915C29" w:rsidRDefault="00000000">
      <w:pPr>
        <w:spacing w:before="80" w:after="100"/>
      </w:pPr>
      <w:r>
        <w:rPr>
          <w:color w:val="000000"/>
        </w:rPr>
        <w:t>The system validates all selected folders against the delete constraint (Rule 4) before any delete is executed. If any folder is in a protected state, the process halts and reports which folders are blocking. Deletion cannot proceed until all blocking folders are resolved or deselected.</w:t>
      </w:r>
    </w:p>
    <w:p w14:paraId="7BE38794" w14:textId="77777777" w:rsidR="00915C29" w:rsidRDefault="00915C29">
      <w:pPr>
        <w:spacing w:before="80"/>
      </w:pPr>
    </w:p>
    <w:p w14:paraId="7BE38795" w14:textId="37BB7286" w:rsidR="00915C29" w:rsidRDefault="00000000">
      <w:pPr>
        <w:spacing w:before="280" w:after="100"/>
      </w:pPr>
      <w:r>
        <w:rPr>
          <w:b/>
          <w:bCs/>
          <w:color w:val="2E75B6"/>
          <w:sz w:val="24"/>
          <w:szCs w:val="24"/>
        </w:rPr>
        <w:t xml:space="preserve">Step </w:t>
      </w:r>
      <w:r w:rsidR="00604E6B">
        <w:rPr>
          <w:b/>
          <w:bCs/>
          <w:color w:val="2E75B6"/>
          <w:sz w:val="24"/>
          <w:szCs w:val="24"/>
        </w:rPr>
        <w:t>8</w:t>
      </w:r>
      <w:r w:rsidR="00604E6B">
        <w:rPr>
          <w:b/>
          <w:bCs/>
          <w:color w:val="1F3864"/>
          <w:sz w:val="24"/>
          <w:szCs w:val="24"/>
        </w:rPr>
        <w:t xml:space="preserve"> </w:t>
      </w:r>
      <w:r w:rsidR="00206AAF">
        <w:rPr>
          <w:b/>
          <w:bCs/>
          <w:color w:val="1F3864"/>
          <w:sz w:val="24"/>
          <w:szCs w:val="24"/>
        </w:rPr>
        <w:t>— Create</w:t>
      </w:r>
      <w:r>
        <w:rPr>
          <w:b/>
          <w:bCs/>
          <w:color w:val="1F3864"/>
          <w:sz w:val="24"/>
          <w:szCs w:val="24"/>
        </w:rPr>
        <w:t xml:space="preserve"> a new archive library in MAGIQ Documents</w:t>
      </w:r>
    </w:p>
    <w:p w14:paraId="7BE38796" w14:textId="77777777" w:rsidR="00915C29" w:rsidRDefault="00000000">
      <w:pPr>
        <w:spacing w:before="80" w:after="100"/>
      </w:pPr>
      <w:r>
        <w:rPr>
          <w:color w:val="000000"/>
        </w:rPr>
        <w:t>Create a new, temporary library within MAGIQ Documents to hold the candidate documents during the archival window.</w:t>
      </w:r>
    </w:p>
    <w:p w14:paraId="7BE38797" w14:textId="77777777" w:rsidR="00915C29" w:rsidRDefault="00915C2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9C"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98" w14:textId="58F72EEB" w:rsidR="00915C29" w:rsidRDefault="00206AAF">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99" w14:textId="77777777" w:rsidR="00915C29" w:rsidRDefault="00000000">
            <w:pPr>
              <w:spacing w:before="40" w:after="40"/>
              <w:ind w:left="180"/>
            </w:pPr>
            <w:r>
              <w:rPr>
                <w:i/>
                <w:iCs/>
                <w:color w:val="5C4A00"/>
                <w:sz w:val="20"/>
                <w:szCs w:val="20"/>
              </w:rPr>
              <w:t xml:space="preserve">What should the library be named? Is there a naming convention to follow — e.g. </w:t>
            </w:r>
            <w:proofErr w:type="spellStart"/>
            <w:r>
              <w:rPr>
                <w:i/>
                <w:iCs/>
                <w:color w:val="5C4A00"/>
                <w:sz w:val="20"/>
                <w:szCs w:val="20"/>
              </w:rPr>
              <w:t>NATA_Archive_YYYY</w:t>
            </w:r>
            <w:proofErr w:type="spellEnd"/>
            <w:r>
              <w:rPr>
                <w:i/>
                <w:iCs/>
                <w:color w:val="5C4A00"/>
                <w:sz w:val="20"/>
                <w:szCs w:val="20"/>
              </w:rPr>
              <w:t>?</w:t>
            </w:r>
          </w:p>
          <w:p w14:paraId="7BE3879A" w14:textId="77777777" w:rsidR="00915C29" w:rsidRDefault="00000000">
            <w:pPr>
              <w:spacing w:before="40" w:after="40"/>
              <w:ind w:left="180"/>
            </w:pPr>
            <w:r>
              <w:rPr>
                <w:i/>
                <w:iCs/>
                <w:color w:val="5C4A00"/>
                <w:sz w:val="20"/>
                <w:szCs w:val="20"/>
              </w:rPr>
              <w:t>What permissions are required on the library, and who needs access during the archival window?</w:t>
            </w:r>
          </w:p>
          <w:p w14:paraId="7BE3879B" w14:textId="77777777" w:rsidR="00915C29" w:rsidRDefault="00000000">
            <w:pPr>
              <w:spacing w:before="40" w:after="40"/>
              <w:ind w:left="180"/>
            </w:pPr>
            <w:r>
              <w:rPr>
                <w:i/>
                <w:iCs/>
                <w:color w:val="5C4A00"/>
                <w:sz w:val="20"/>
                <w:szCs w:val="20"/>
              </w:rPr>
              <w:t>Does library creation need to be logged or audited?</w:t>
            </w:r>
          </w:p>
        </w:tc>
      </w:tr>
    </w:tbl>
    <w:p w14:paraId="7BE3879D" w14:textId="77777777" w:rsidR="00915C29" w:rsidRDefault="00915C29">
      <w:pPr>
        <w:spacing w:before="80"/>
      </w:pPr>
    </w:p>
    <w:p w14:paraId="7BE3879E" w14:textId="36C30671" w:rsidR="00915C29" w:rsidRDefault="00000000">
      <w:pPr>
        <w:spacing w:before="280" w:after="100"/>
      </w:pPr>
      <w:r>
        <w:rPr>
          <w:b/>
          <w:bCs/>
          <w:color w:val="2E75B6"/>
          <w:sz w:val="24"/>
          <w:szCs w:val="24"/>
        </w:rPr>
        <w:t xml:space="preserve">Step </w:t>
      </w:r>
      <w:r w:rsidR="00206AAF">
        <w:rPr>
          <w:b/>
          <w:bCs/>
          <w:color w:val="2E75B6"/>
          <w:sz w:val="24"/>
          <w:szCs w:val="24"/>
        </w:rPr>
        <w:t>9</w:t>
      </w:r>
      <w:r w:rsidR="00206AAF">
        <w:rPr>
          <w:b/>
          <w:bCs/>
          <w:color w:val="1F3864"/>
          <w:sz w:val="24"/>
          <w:szCs w:val="24"/>
        </w:rPr>
        <w:t xml:space="preserve"> </w:t>
      </w:r>
      <w:r w:rsidR="0026296C">
        <w:rPr>
          <w:b/>
          <w:bCs/>
          <w:color w:val="1F3864"/>
          <w:sz w:val="24"/>
          <w:szCs w:val="24"/>
        </w:rPr>
        <w:t>— Move</w:t>
      </w:r>
      <w:r>
        <w:rPr>
          <w:b/>
          <w:bCs/>
          <w:color w:val="1F3864"/>
          <w:sz w:val="24"/>
          <w:szCs w:val="24"/>
        </w:rPr>
        <w:t xml:space="preserve"> documents to the archive library</w:t>
      </w:r>
    </w:p>
    <w:p w14:paraId="7BE3879F" w14:textId="77777777" w:rsidR="00915C29" w:rsidRDefault="00000000">
      <w:pPr>
        <w:spacing w:before="80" w:after="100"/>
      </w:pPr>
      <w:r>
        <w:rPr>
          <w:color w:val="000000"/>
        </w:rPr>
        <w:t>Move all candidate documents identified in Step 1 into the library created in Step 8.</w:t>
      </w:r>
    </w:p>
    <w:p w14:paraId="7BE387A0" w14:textId="77777777" w:rsidR="00915C29" w:rsidRDefault="00915C2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A4"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A1" w14:textId="47E7DE64" w:rsidR="00915C29" w:rsidRDefault="00206AAF">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A3" w14:textId="27D957AF" w:rsidR="00915C29" w:rsidRDefault="00000000" w:rsidP="009C37EB">
            <w:pPr>
              <w:spacing w:before="40" w:after="40"/>
              <w:ind w:left="180"/>
            </w:pPr>
            <w:r>
              <w:rPr>
                <w:i/>
                <w:iCs/>
                <w:color w:val="5C4A00"/>
                <w:sz w:val="20"/>
                <w:szCs w:val="20"/>
              </w:rPr>
              <w:t>What happens if a move fails mid-process — is there a rollback mechanism, or can the process resume from the point of failure?</w:t>
            </w:r>
          </w:p>
        </w:tc>
      </w:tr>
    </w:tbl>
    <w:p w14:paraId="7BE387A5" w14:textId="77777777" w:rsidR="00915C29" w:rsidRDefault="00915C29">
      <w:pPr>
        <w:spacing w:before="80"/>
      </w:pPr>
    </w:p>
    <w:p w14:paraId="2CDC8ECC" w14:textId="77777777" w:rsidR="0026296C" w:rsidRDefault="0026296C">
      <w:pPr>
        <w:rPr>
          <w:b/>
          <w:bCs/>
          <w:color w:val="2E75B6"/>
          <w:sz w:val="26"/>
          <w:szCs w:val="26"/>
        </w:rPr>
      </w:pPr>
      <w:r>
        <w:rPr>
          <w:b/>
          <w:bCs/>
          <w:color w:val="2E75B6"/>
          <w:sz w:val="26"/>
          <w:szCs w:val="26"/>
        </w:rPr>
        <w:br w:type="page"/>
      </w:r>
    </w:p>
    <w:p w14:paraId="7BE387A6" w14:textId="01156551" w:rsidR="00915C29" w:rsidRDefault="00000000">
      <w:pPr>
        <w:pBdr>
          <w:bottom w:val="single" w:sz="2" w:space="4" w:color="DEEAF1"/>
        </w:pBdr>
        <w:spacing w:before="360" w:after="80"/>
      </w:pPr>
      <w:r>
        <w:rPr>
          <w:b/>
          <w:bCs/>
          <w:color w:val="2E75B6"/>
          <w:sz w:val="26"/>
          <w:szCs w:val="26"/>
        </w:rPr>
        <w:lastRenderedPageBreak/>
        <w:t>Phase 4 — Cleanup</w:t>
      </w:r>
    </w:p>
    <w:p w14:paraId="7BE387A7" w14:textId="1AE9F54C" w:rsidR="00915C29" w:rsidRDefault="00000000">
      <w:pPr>
        <w:spacing w:before="280" w:after="100"/>
      </w:pPr>
      <w:r>
        <w:rPr>
          <w:b/>
          <w:bCs/>
          <w:color w:val="2E75B6"/>
          <w:sz w:val="24"/>
          <w:szCs w:val="24"/>
        </w:rPr>
        <w:t xml:space="preserve">Step </w:t>
      </w:r>
      <w:r w:rsidR="00206AAF">
        <w:rPr>
          <w:b/>
          <w:bCs/>
          <w:color w:val="2E75B6"/>
          <w:sz w:val="24"/>
          <w:szCs w:val="24"/>
        </w:rPr>
        <w:t>10</w:t>
      </w:r>
      <w:r w:rsidR="00206AAF">
        <w:rPr>
          <w:b/>
          <w:bCs/>
          <w:color w:val="1F3864"/>
          <w:sz w:val="24"/>
          <w:szCs w:val="24"/>
        </w:rPr>
        <w:t xml:space="preserve"> </w:t>
      </w:r>
      <w:r w:rsidR="0026296C">
        <w:rPr>
          <w:b/>
          <w:bCs/>
          <w:color w:val="1F3864"/>
          <w:sz w:val="24"/>
          <w:szCs w:val="24"/>
        </w:rPr>
        <w:t>— Delete</w:t>
      </w:r>
      <w:r>
        <w:rPr>
          <w:b/>
          <w:bCs/>
          <w:color w:val="1F3864"/>
          <w:sz w:val="24"/>
          <w:szCs w:val="24"/>
        </w:rPr>
        <w:t xml:space="preserve"> empty folders</w:t>
      </w:r>
    </w:p>
    <w:p w14:paraId="7BE387A8" w14:textId="77777777" w:rsidR="00915C29" w:rsidRDefault="00000000">
      <w:pPr>
        <w:spacing w:before="80" w:after="100"/>
      </w:pPr>
      <w:r>
        <w:rPr>
          <w:color w:val="000000"/>
        </w:rPr>
        <w:t>Delete all folders that are empty following the document move in Step 9. This step must not execute until all document moves in Step 9 are confirmed complete.</w:t>
      </w:r>
    </w:p>
    <w:p w14:paraId="7BE387AD" w14:textId="77777777" w:rsidR="00915C29" w:rsidRDefault="00915C29">
      <w:pPr>
        <w:spacing w:before="80"/>
      </w:pPr>
    </w:p>
    <w:p w14:paraId="7BE387AE" w14:textId="29C4B752" w:rsidR="00915C29" w:rsidRDefault="00000000">
      <w:pPr>
        <w:spacing w:before="280" w:after="100"/>
      </w:pPr>
      <w:r>
        <w:rPr>
          <w:b/>
          <w:bCs/>
          <w:color w:val="2E75B6"/>
          <w:sz w:val="24"/>
          <w:szCs w:val="24"/>
        </w:rPr>
        <w:t xml:space="preserve">Step </w:t>
      </w:r>
      <w:r w:rsidR="00206AAF">
        <w:rPr>
          <w:b/>
          <w:bCs/>
          <w:color w:val="2E75B6"/>
          <w:sz w:val="24"/>
          <w:szCs w:val="24"/>
        </w:rPr>
        <w:t>11</w:t>
      </w:r>
      <w:r w:rsidR="00206AAF">
        <w:rPr>
          <w:b/>
          <w:bCs/>
          <w:color w:val="1F3864"/>
          <w:sz w:val="24"/>
          <w:szCs w:val="24"/>
        </w:rPr>
        <w:t xml:space="preserve"> </w:t>
      </w:r>
      <w:r w:rsidR="0026296C">
        <w:rPr>
          <w:b/>
          <w:bCs/>
          <w:color w:val="1F3864"/>
          <w:sz w:val="24"/>
          <w:szCs w:val="24"/>
        </w:rPr>
        <w:t>— Archive</w:t>
      </w:r>
      <w:r>
        <w:rPr>
          <w:b/>
          <w:bCs/>
          <w:color w:val="1F3864"/>
          <w:sz w:val="24"/>
          <w:szCs w:val="24"/>
        </w:rPr>
        <w:t xml:space="preserve"> via Robocopy</w:t>
      </w:r>
    </w:p>
    <w:p w14:paraId="7BE387AF" w14:textId="77777777" w:rsidR="00915C29" w:rsidRDefault="00000000">
      <w:pPr>
        <w:spacing w:before="80" w:after="100"/>
      </w:pPr>
      <w:r>
        <w:rPr>
          <w:color w:val="000000"/>
        </w:rPr>
        <w:t>NATA uses Robocopy to copy the entire archive library to a designated file share for long-term backup.</w:t>
      </w:r>
    </w:p>
    <w:p w14:paraId="7BE387B0" w14:textId="77777777" w:rsidR="00915C29" w:rsidRDefault="00915C2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B4"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B1" w14:textId="5C6FFD9B" w:rsidR="00915C29" w:rsidRDefault="00206AAF">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B2" w14:textId="77777777" w:rsidR="00915C29" w:rsidRDefault="00000000">
            <w:pPr>
              <w:spacing w:before="40" w:after="40"/>
              <w:ind w:left="180"/>
            </w:pPr>
            <w:r>
              <w:rPr>
                <w:i/>
                <w:iCs/>
                <w:color w:val="5C4A00"/>
                <w:sz w:val="20"/>
                <w:szCs w:val="20"/>
              </w:rPr>
              <w:t>Is this step performed manually by NATA, or should it be automated as part of the process?</w:t>
            </w:r>
          </w:p>
          <w:p w14:paraId="7BE387B3" w14:textId="77777777" w:rsidR="00915C29" w:rsidRDefault="00000000">
            <w:pPr>
              <w:spacing w:before="40" w:after="40"/>
              <w:ind w:left="180"/>
            </w:pPr>
            <w:r>
              <w:rPr>
                <w:i/>
                <w:iCs/>
                <w:color w:val="5C4A00"/>
                <w:sz w:val="20"/>
                <w:szCs w:val="20"/>
              </w:rPr>
              <w:t>How is successful completion of Robocopy verified before Step 12 proceeds? A file count and total size comparison between the source library and the destination file share must be confirmed. Step 12 is blocked until this verification passes.</w:t>
            </w:r>
          </w:p>
        </w:tc>
      </w:tr>
    </w:tbl>
    <w:p w14:paraId="7BE387B5" w14:textId="77777777" w:rsidR="00915C29" w:rsidRDefault="00915C2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B8" w14:textId="77777777">
        <w:tc>
          <w:tcPr>
            <w:tcW w:w="9026" w:type="dxa"/>
            <w:tcBorders>
              <w:top w:val="single" w:sz="1" w:space="0" w:color="2E75B6"/>
              <w:left w:val="thick" w:sz="16" w:space="0" w:color="2E75B6"/>
              <w:bottom w:val="single" w:sz="1" w:space="0" w:color="2E75B6"/>
              <w:right w:val="single" w:sz="1" w:space="0" w:color="2E75B6"/>
            </w:tcBorders>
            <w:shd w:val="clear" w:color="auto" w:fill="EBF3FB"/>
            <w:tcMar>
              <w:top w:w="100" w:type="dxa"/>
              <w:left w:w="200" w:type="dxa"/>
              <w:bottom w:w="100" w:type="dxa"/>
              <w:right w:w="120" w:type="dxa"/>
            </w:tcMar>
          </w:tcPr>
          <w:p w14:paraId="7BE387B6" w14:textId="6F7F0883" w:rsidR="00915C29" w:rsidRDefault="00000000">
            <w:pPr>
              <w:spacing w:after="80"/>
            </w:pPr>
            <w:r>
              <w:rPr>
                <w:b/>
                <w:bCs/>
                <w:color w:val="2E75B6"/>
              </w:rPr>
              <w:t xml:space="preserve">Verification </w:t>
            </w:r>
            <w:r w:rsidR="00206AAF">
              <w:rPr>
                <w:b/>
                <w:bCs/>
                <w:color w:val="2E75B6"/>
              </w:rPr>
              <w:t xml:space="preserve">Gate </w:t>
            </w:r>
            <w:r w:rsidR="00AD4E07">
              <w:rPr>
                <w:b/>
                <w:bCs/>
                <w:color w:val="2E75B6"/>
              </w:rPr>
              <w:t>— Required</w:t>
            </w:r>
            <w:r>
              <w:rPr>
                <w:b/>
                <w:bCs/>
                <w:color w:val="2E75B6"/>
              </w:rPr>
              <w:t xml:space="preserve"> before Step 12</w:t>
            </w:r>
          </w:p>
          <w:p w14:paraId="7BE387B7" w14:textId="77777777" w:rsidR="00915C29" w:rsidRDefault="00000000">
            <w:r>
              <w:t>Before Step 12 may execute, the Robocopy archive must be verified. The file count and total size of the copied library on the file share must match the source library. This is the point of irreversibility — once the library is deleted, recovery depends entirely on the archive. Step 12 is blocked until this check passes.</w:t>
            </w:r>
          </w:p>
        </w:tc>
      </w:tr>
    </w:tbl>
    <w:p w14:paraId="7BE387B9" w14:textId="77777777" w:rsidR="00915C29" w:rsidRDefault="00915C29">
      <w:pPr>
        <w:spacing w:before="80"/>
      </w:pPr>
    </w:p>
    <w:p w14:paraId="7BE387BA" w14:textId="0DB06D61" w:rsidR="00915C29" w:rsidRDefault="00000000">
      <w:pPr>
        <w:spacing w:before="280" w:after="100"/>
      </w:pPr>
      <w:r>
        <w:rPr>
          <w:b/>
          <w:bCs/>
          <w:color w:val="2E75B6"/>
          <w:sz w:val="24"/>
          <w:szCs w:val="24"/>
        </w:rPr>
        <w:t xml:space="preserve">Step </w:t>
      </w:r>
      <w:r w:rsidR="00604E6B">
        <w:rPr>
          <w:b/>
          <w:bCs/>
          <w:color w:val="2E75B6"/>
          <w:sz w:val="24"/>
          <w:szCs w:val="24"/>
        </w:rPr>
        <w:t>12</w:t>
      </w:r>
      <w:r w:rsidR="00604E6B">
        <w:rPr>
          <w:b/>
          <w:bCs/>
          <w:color w:val="1F3864"/>
          <w:sz w:val="24"/>
          <w:szCs w:val="24"/>
        </w:rPr>
        <w:t xml:space="preserve"> — Delete</w:t>
      </w:r>
      <w:r>
        <w:rPr>
          <w:b/>
          <w:bCs/>
          <w:color w:val="1F3864"/>
          <w:sz w:val="24"/>
          <w:szCs w:val="24"/>
        </w:rPr>
        <w:t xml:space="preserve"> and purge the archive library</w:t>
      </w:r>
    </w:p>
    <w:p w14:paraId="7BE387BB" w14:textId="77777777" w:rsidR="00915C29" w:rsidRDefault="00000000">
      <w:pPr>
        <w:spacing w:before="80" w:after="100"/>
      </w:pPr>
      <w:r>
        <w:rPr>
          <w:color w:val="000000"/>
        </w:rPr>
        <w:t>Delete the archive library from MAGIQ Documents. The purge — permanent removal from the system — is implemented as a system background process that executes automatically following the delete. This step may only proceed once the verification gate above has passed.</w:t>
      </w:r>
    </w:p>
    <w:p w14:paraId="7BE387BC" w14:textId="77777777" w:rsidR="00915C29" w:rsidRDefault="00915C2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BF"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BD" w14:textId="17551047" w:rsidR="00915C29" w:rsidRDefault="00206AAF">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BE" w14:textId="77777777" w:rsidR="00915C29" w:rsidRDefault="00000000">
            <w:pPr>
              <w:spacing w:before="40" w:after="40"/>
              <w:ind w:left="180"/>
            </w:pPr>
            <w:r>
              <w:rPr>
                <w:i/>
                <w:iCs/>
                <w:color w:val="5C4A00"/>
                <w:sz w:val="20"/>
                <w:szCs w:val="20"/>
              </w:rPr>
              <w:t>Is there a required holding period between the delete action and the background purge executing, to allow for any last-minute intervention?</w:t>
            </w:r>
          </w:p>
        </w:tc>
      </w:tr>
    </w:tbl>
    <w:p w14:paraId="68F7E5AF" w14:textId="77777777" w:rsidR="0026296C" w:rsidRDefault="0026296C">
      <w:pPr>
        <w:pStyle w:val="Heading1"/>
      </w:pPr>
    </w:p>
    <w:p w14:paraId="1473176B" w14:textId="77777777" w:rsidR="0026296C" w:rsidRDefault="0026296C">
      <w:pPr>
        <w:rPr>
          <w:b/>
          <w:bCs/>
          <w:color w:val="1F3864"/>
          <w:sz w:val="32"/>
          <w:szCs w:val="32"/>
        </w:rPr>
      </w:pPr>
      <w:r>
        <w:br w:type="page"/>
      </w:r>
    </w:p>
    <w:p w14:paraId="7BE387C0" w14:textId="093369EB" w:rsidR="00915C29" w:rsidRDefault="00000000">
      <w:pPr>
        <w:pStyle w:val="Heading1"/>
      </w:pPr>
      <w:proofErr w:type="spellStart"/>
      <w:r>
        <w:lastRenderedPageBreak/>
        <w:t>Deletable</w:t>
      </w:r>
      <w:proofErr w:type="spellEnd"/>
      <w:r>
        <w:t xml:space="preserve"> Folder Naming Conventions</w:t>
      </w:r>
    </w:p>
    <w:p w14:paraId="7BE387C1" w14:textId="4834FDFC" w:rsidR="00915C29" w:rsidRDefault="00000000">
      <w:pPr>
        <w:spacing w:before="80" w:after="100"/>
      </w:pPr>
      <w:r>
        <w:rPr>
          <w:color w:val="000000"/>
        </w:rPr>
        <w:t>Folders matching the following acronyms are always eligible for deletion. In the review UI (Step 6), these folders are pre-</w:t>
      </w:r>
      <w:r w:rsidR="00206AAF">
        <w:rPr>
          <w:color w:val="000000"/>
        </w:rPr>
        <w:t>selected,</w:t>
      </w:r>
      <w:r>
        <w:rPr>
          <w:color w:val="000000"/>
        </w:rPr>
        <w:t xml:space="preserve"> and NATA cannot override the selection.</w:t>
      </w:r>
    </w:p>
    <w:p w14:paraId="7BE387C2" w14:textId="77777777" w:rsidR="00915C29" w:rsidRDefault="00915C29">
      <w:pPr>
        <w:spacing w:before="80"/>
      </w:pPr>
    </w:p>
    <w:p w14:paraId="7BE387C3" w14:textId="77777777" w:rsidR="00915C29" w:rsidRDefault="00000000">
      <w:pPr>
        <w:spacing w:before="80" w:after="120"/>
        <w:ind w:left="360"/>
      </w:pPr>
      <w:r>
        <w:rPr>
          <w:rFonts w:ascii="Courier New" w:eastAsia="Courier New" w:hAnsi="Courier New" w:cs="Courier New"/>
          <w:color w:val="1F3864"/>
        </w:rPr>
        <w:t>ADV  ·  ARE  ·  ASS  ·  CEA  ·  CGA  ·  CRE  ·  DCR  ·  DEL  ·  DFS  ·  DRV  ·  DTV  ·  FAS  ·  FES  ·  OLC  ·  OLN  ·  REI  ·  RES  ·  SRE  ·  SRV  ·  STF  ·  STI  ·  VAR</w:t>
      </w:r>
    </w:p>
    <w:p w14:paraId="7BE387C4" w14:textId="77777777" w:rsidR="00915C29" w:rsidRDefault="00915C2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C8"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C5" w14:textId="0795D75E" w:rsidR="00915C29" w:rsidRDefault="00206AAF">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C6" w14:textId="77777777" w:rsidR="00915C29" w:rsidRDefault="00000000">
            <w:pPr>
              <w:spacing w:before="40" w:after="40"/>
              <w:ind w:left="180"/>
            </w:pPr>
            <w:r>
              <w:rPr>
                <w:i/>
                <w:iCs/>
                <w:color w:val="5C4A00"/>
                <w:sz w:val="20"/>
                <w:szCs w:val="20"/>
              </w:rPr>
              <w:t xml:space="preserve">Is this the complete and final list of </w:t>
            </w:r>
            <w:proofErr w:type="spellStart"/>
            <w:r>
              <w:rPr>
                <w:i/>
                <w:iCs/>
                <w:color w:val="5C4A00"/>
                <w:sz w:val="20"/>
                <w:szCs w:val="20"/>
              </w:rPr>
              <w:t>deletable</w:t>
            </w:r>
            <w:proofErr w:type="spellEnd"/>
            <w:r>
              <w:rPr>
                <w:i/>
                <w:iCs/>
                <w:color w:val="5C4A00"/>
                <w:sz w:val="20"/>
                <w:szCs w:val="20"/>
              </w:rPr>
              <w:t xml:space="preserve"> naming conventions, or is it a subset? Are there additional acronyms to be included?</w:t>
            </w:r>
          </w:p>
          <w:p w14:paraId="7BE387C7" w14:textId="77777777" w:rsidR="00915C29" w:rsidRDefault="00000000">
            <w:pPr>
              <w:spacing w:before="40" w:after="40"/>
              <w:ind w:left="180"/>
            </w:pPr>
            <w:r>
              <w:rPr>
                <w:i/>
                <w:iCs/>
                <w:color w:val="5C4A00"/>
                <w:sz w:val="20"/>
                <w:szCs w:val="20"/>
              </w:rPr>
              <w:t>Is matching case-sensitive? Does the convention apply to folders whose name starts with the acronym, or must the full folder name be an exact match?</w:t>
            </w:r>
          </w:p>
        </w:tc>
      </w:tr>
    </w:tbl>
    <w:p w14:paraId="7BE387C9" w14:textId="77777777" w:rsidR="00915C29" w:rsidRDefault="00000000">
      <w:pPr>
        <w:pStyle w:val="Heading1"/>
      </w:pPr>
      <w:r>
        <w:t>Rules</w:t>
      </w:r>
    </w:p>
    <w:p w14:paraId="7BE387CA" w14:textId="2966E84D" w:rsidR="00915C29" w:rsidRDefault="00000000">
      <w:pPr>
        <w:pStyle w:val="ListParagraph"/>
        <w:numPr>
          <w:ilvl w:val="0"/>
          <w:numId w:val="2"/>
        </w:numPr>
        <w:spacing w:before="80" w:after="100"/>
      </w:pPr>
      <w:r>
        <w:rPr>
          <w:b/>
          <w:bCs/>
        </w:rPr>
        <w:t xml:space="preserve">Date cutoff </w:t>
      </w:r>
      <w:r w:rsidR="0026296C">
        <w:t>- D</w:t>
      </w:r>
      <w:r>
        <w:t>ocuments with a modification date less than or equal to the specified calendar date are candidates for deletion.</w:t>
      </w:r>
    </w:p>
    <w:p w14:paraId="7BE387CB" w14:textId="371F6435" w:rsidR="00915C29" w:rsidRDefault="00000000">
      <w:pPr>
        <w:pStyle w:val="ListParagraph"/>
        <w:numPr>
          <w:ilvl w:val="0"/>
          <w:numId w:val="2"/>
        </w:numPr>
        <w:spacing w:before="80" w:after="100"/>
      </w:pPr>
      <w:r>
        <w:rPr>
          <w:b/>
          <w:bCs/>
        </w:rPr>
        <w:t xml:space="preserve">Folder protection </w:t>
      </w:r>
      <w:r w:rsidR="0026296C">
        <w:t>- F</w:t>
      </w:r>
      <w:r>
        <w:t>olders containing at least one document with a modification date after the specified date must not be deleted.</w:t>
      </w:r>
    </w:p>
    <w:p w14:paraId="7BE387CC" w14:textId="1DAD2816" w:rsidR="00915C29" w:rsidRDefault="00000000">
      <w:pPr>
        <w:pStyle w:val="ListParagraph"/>
        <w:numPr>
          <w:ilvl w:val="0"/>
          <w:numId w:val="2"/>
        </w:numPr>
        <w:spacing w:before="80" w:after="100"/>
      </w:pPr>
      <w:r>
        <w:rPr>
          <w:b/>
          <w:bCs/>
        </w:rPr>
        <w:t xml:space="preserve">Empty folders </w:t>
      </w:r>
      <w:r w:rsidR="0026296C">
        <w:t>- E</w:t>
      </w:r>
      <w:r>
        <w:t>mpty folders must be deleted.</w:t>
      </w:r>
    </w:p>
    <w:p w14:paraId="7BE387CD" w14:textId="5BAF10BD" w:rsidR="00915C29" w:rsidRDefault="00000000">
      <w:pPr>
        <w:pStyle w:val="ListParagraph"/>
        <w:numPr>
          <w:ilvl w:val="0"/>
          <w:numId w:val="2"/>
        </w:numPr>
        <w:spacing w:before="80" w:after="100"/>
      </w:pPr>
      <w:r>
        <w:rPr>
          <w:b/>
          <w:bCs/>
        </w:rPr>
        <w:t xml:space="preserve">Delete constraint </w:t>
      </w:r>
      <w:r w:rsidR="0026296C">
        <w:t>- D</w:t>
      </w:r>
      <w:r>
        <w:t>eletion cannot proceed while any selected folder is in a protected state. The system must validate all selected folders before executing any deletions. If the constraint is violated, the process halts and reports which folders are blocking. Deletion cannot proceed until all blocking folders are resolved or deselected.</w:t>
      </w:r>
    </w:p>
    <w:p w14:paraId="7BE387CE" w14:textId="130C5943" w:rsidR="00915C29" w:rsidRDefault="00000000">
      <w:pPr>
        <w:pStyle w:val="ListParagraph"/>
        <w:numPr>
          <w:ilvl w:val="0"/>
          <w:numId w:val="2"/>
        </w:numPr>
        <w:spacing w:before="80" w:after="100"/>
      </w:pPr>
      <w:r>
        <w:rPr>
          <w:b/>
          <w:bCs/>
        </w:rPr>
        <w:t xml:space="preserve">Archive first </w:t>
      </w:r>
      <w:r w:rsidR="00E6112C">
        <w:t>- T</w:t>
      </w:r>
      <w:r>
        <w:t>he archive library must not be deleted (Step 12) until the Robocopy archive is confirmed complete via the verification gate.</w:t>
      </w:r>
    </w:p>
    <w:p w14:paraId="7BE387CF" w14:textId="77777777" w:rsidR="00915C29" w:rsidRDefault="00915C29">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5C29" w14:paraId="7BE387D2" w14:textId="77777777">
        <w:tc>
          <w:tcPr>
            <w:tcW w:w="9026" w:type="dxa"/>
            <w:tcBorders>
              <w:top w:val="single" w:sz="1" w:space="0" w:color="E6C84A"/>
              <w:left w:val="thick" w:sz="14" w:space="0" w:color="F59E0B"/>
              <w:bottom w:val="single" w:sz="1" w:space="0" w:color="E6C84A"/>
              <w:right w:val="single" w:sz="1" w:space="0" w:color="E6C84A"/>
            </w:tcBorders>
            <w:shd w:val="clear" w:color="auto" w:fill="FFFBEA"/>
            <w:tcMar>
              <w:top w:w="80" w:type="dxa"/>
              <w:left w:w="200" w:type="dxa"/>
              <w:bottom w:w="80" w:type="dxa"/>
              <w:right w:w="120" w:type="dxa"/>
            </w:tcMar>
          </w:tcPr>
          <w:p w14:paraId="7BE387D0" w14:textId="72DC1B6F" w:rsidR="00915C29" w:rsidRDefault="0026296C">
            <w:pPr>
              <w:spacing w:before="60" w:after="60"/>
            </w:pPr>
            <w:r>
              <w:rPr>
                <w:rFonts w:ascii="Segoe UI Emoji" w:hAnsi="Segoe UI Emoji" w:cs="Segoe UI Emoji"/>
                <w:b/>
                <w:bCs/>
                <w:color w:val="7B5C00"/>
                <w:sz w:val="20"/>
                <w:szCs w:val="20"/>
              </w:rPr>
              <w:t>❓</w:t>
            </w:r>
            <w:r>
              <w:rPr>
                <w:b/>
                <w:bCs/>
                <w:color w:val="7B5C00"/>
                <w:sz w:val="20"/>
                <w:szCs w:val="20"/>
              </w:rPr>
              <w:t xml:space="preserve"> Open Question</w:t>
            </w:r>
          </w:p>
          <w:p w14:paraId="7BE387D1" w14:textId="77777777" w:rsidR="00915C29" w:rsidRDefault="00000000">
            <w:pPr>
              <w:spacing w:before="40" w:after="40"/>
              <w:ind w:left="180"/>
            </w:pPr>
            <w:r>
              <w:rPr>
                <w:i/>
                <w:iCs/>
                <w:color w:val="5C4A00"/>
                <w:sz w:val="20"/>
                <w:szCs w:val="20"/>
              </w:rPr>
              <w:t>Rule 2 defines folder protection at the document level — does this protection extend to the full parent folder hierarchy (all ancestor folders), or only to the immediate containing folder? (See also Step 4.)</w:t>
            </w:r>
          </w:p>
        </w:tc>
      </w:tr>
    </w:tbl>
    <w:p w14:paraId="7BE387D3" w14:textId="77777777" w:rsidR="008A4DA2" w:rsidRDefault="008A4DA2"/>
    <w:sectPr w:rsidR="008A4DA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7DB09" w14:textId="77777777" w:rsidR="00E82B3E" w:rsidRDefault="00E82B3E">
      <w:r>
        <w:separator/>
      </w:r>
    </w:p>
  </w:endnote>
  <w:endnote w:type="continuationSeparator" w:id="0">
    <w:p w14:paraId="4E1B840D" w14:textId="77777777" w:rsidR="00E82B3E" w:rsidRDefault="00E82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87D4" w14:textId="0A1AD4F4" w:rsidR="00915C29" w:rsidRDefault="00000000">
    <w:pPr>
      <w:pBdr>
        <w:top w:val="single" w:sz="4" w:space="4" w:color="CCCCCC"/>
      </w:pBdr>
      <w:tabs>
        <w:tab w:val="right" w:pos="9026"/>
      </w:tabs>
    </w:pPr>
    <w:proofErr w:type="spellStart"/>
    <w:r>
      <w:rPr>
        <w:color w:val="595959"/>
        <w:sz w:val="18"/>
        <w:szCs w:val="18"/>
      </w:rPr>
      <w:t>Magiq</w:t>
    </w:r>
    <w:proofErr w:type="spellEnd"/>
    <w:r>
      <w:rPr>
        <w:color w:val="595959"/>
        <w:sz w:val="18"/>
        <w:szCs w:val="18"/>
      </w:rPr>
      <w:t xml:space="preserve"> Software</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04E6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04E6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BF407" w14:textId="77777777" w:rsidR="00E82B3E" w:rsidRDefault="00E82B3E">
      <w:r>
        <w:separator/>
      </w:r>
    </w:p>
  </w:footnote>
  <w:footnote w:type="continuationSeparator" w:id="0">
    <w:p w14:paraId="72B05055" w14:textId="77777777" w:rsidR="00E82B3E" w:rsidRDefault="00E82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87D3" w14:textId="77777777" w:rsidR="00915C29" w:rsidRDefault="00000000">
    <w:pPr>
      <w:pBdr>
        <w:bottom w:val="single" w:sz="4" w:space="4" w:color="CCCCCC"/>
      </w:pBdr>
      <w:tabs>
        <w:tab w:val="right" w:pos="9026"/>
      </w:tabs>
    </w:pPr>
    <w:r>
      <w:rPr>
        <w:color w:val="595959"/>
        <w:sz w:val="18"/>
        <w:szCs w:val="18"/>
      </w:rPr>
      <w:t>NATA – Document Lifecycle Cleaner</w:t>
    </w:r>
    <w:r>
      <w:rPr>
        <w:color w:val="595959"/>
        <w:sz w:val="18"/>
        <w:szCs w:val="18"/>
      </w:rPr>
      <w:tab/>
      <w:t>Specification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82F8F"/>
    <w:multiLevelType w:val="hybridMultilevel"/>
    <w:tmpl w:val="8CF0785E"/>
    <w:lvl w:ilvl="0" w:tplc="41B05DF6">
      <w:start w:val="1"/>
      <w:numFmt w:val="decimal"/>
      <w:lvlText w:val="%1."/>
      <w:lvlJc w:val="left"/>
      <w:pPr>
        <w:ind w:left="720" w:hanging="360"/>
      </w:pPr>
    </w:lvl>
    <w:lvl w:ilvl="1" w:tplc="0BE6F3D0">
      <w:numFmt w:val="decimal"/>
      <w:lvlText w:val=""/>
      <w:lvlJc w:val="left"/>
    </w:lvl>
    <w:lvl w:ilvl="2" w:tplc="FE8CC8B2">
      <w:numFmt w:val="decimal"/>
      <w:lvlText w:val=""/>
      <w:lvlJc w:val="left"/>
    </w:lvl>
    <w:lvl w:ilvl="3" w:tplc="ED28C386">
      <w:numFmt w:val="decimal"/>
      <w:lvlText w:val=""/>
      <w:lvlJc w:val="left"/>
    </w:lvl>
    <w:lvl w:ilvl="4" w:tplc="5D4C930E">
      <w:numFmt w:val="decimal"/>
      <w:lvlText w:val=""/>
      <w:lvlJc w:val="left"/>
    </w:lvl>
    <w:lvl w:ilvl="5" w:tplc="210C4294">
      <w:numFmt w:val="decimal"/>
      <w:lvlText w:val=""/>
      <w:lvlJc w:val="left"/>
    </w:lvl>
    <w:lvl w:ilvl="6" w:tplc="B914D68C">
      <w:numFmt w:val="decimal"/>
      <w:lvlText w:val=""/>
      <w:lvlJc w:val="left"/>
    </w:lvl>
    <w:lvl w:ilvl="7" w:tplc="49CA1A60">
      <w:numFmt w:val="decimal"/>
      <w:lvlText w:val=""/>
      <w:lvlJc w:val="left"/>
    </w:lvl>
    <w:lvl w:ilvl="8" w:tplc="26887C18">
      <w:numFmt w:val="decimal"/>
      <w:lvlText w:val=""/>
      <w:lvlJc w:val="left"/>
    </w:lvl>
  </w:abstractNum>
  <w:abstractNum w:abstractNumId="1" w15:restartNumberingAfterBreak="0">
    <w:nsid w:val="62C85263"/>
    <w:multiLevelType w:val="hybridMultilevel"/>
    <w:tmpl w:val="CC4ABB8E"/>
    <w:lvl w:ilvl="0" w:tplc="C624C702">
      <w:start w:val="1"/>
      <w:numFmt w:val="bullet"/>
      <w:lvlText w:val="●"/>
      <w:lvlJc w:val="left"/>
      <w:pPr>
        <w:ind w:left="720" w:hanging="360"/>
      </w:pPr>
    </w:lvl>
    <w:lvl w:ilvl="1" w:tplc="3D1CBDF6">
      <w:start w:val="1"/>
      <w:numFmt w:val="bullet"/>
      <w:lvlText w:val="○"/>
      <w:lvlJc w:val="left"/>
      <w:pPr>
        <w:ind w:left="1440" w:hanging="360"/>
      </w:pPr>
    </w:lvl>
    <w:lvl w:ilvl="2" w:tplc="1518A3AC">
      <w:start w:val="1"/>
      <w:numFmt w:val="bullet"/>
      <w:lvlText w:val="■"/>
      <w:lvlJc w:val="left"/>
      <w:pPr>
        <w:ind w:left="2160" w:hanging="360"/>
      </w:pPr>
    </w:lvl>
    <w:lvl w:ilvl="3" w:tplc="8A508D3C">
      <w:start w:val="1"/>
      <w:numFmt w:val="bullet"/>
      <w:lvlText w:val="●"/>
      <w:lvlJc w:val="left"/>
      <w:pPr>
        <w:ind w:left="2880" w:hanging="360"/>
      </w:pPr>
    </w:lvl>
    <w:lvl w:ilvl="4" w:tplc="C9240566">
      <w:start w:val="1"/>
      <w:numFmt w:val="bullet"/>
      <w:lvlText w:val="○"/>
      <w:lvlJc w:val="left"/>
      <w:pPr>
        <w:ind w:left="3600" w:hanging="360"/>
      </w:pPr>
    </w:lvl>
    <w:lvl w:ilvl="5" w:tplc="6DA01276">
      <w:start w:val="1"/>
      <w:numFmt w:val="bullet"/>
      <w:lvlText w:val="■"/>
      <w:lvlJc w:val="left"/>
      <w:pPr>
        <w:ind w:left="4320" w:hanging="360"/>
      </w:pPr>
    </w:lvl>
    <w:lvl w:ilvl="6" w:tplc="7968F97A">
      <w:start w:val="1"/>
      <w:numFmt w:val="bullet"/>
      <w:lvlText w:val="●"/>
      <w:lvlJc w:val="left"/>
      <w:pPr>
        <w:ind w:left="5040" w:hanging="360"/>
      </w:pPr>
    </w:lvl>
    <w:lvl w:ilvl="7" w:tplc="5F9668E0">
      <w:start w:val="1"/>
      <w:numFmt w:val="bullet"/>
      <w:lvlText w:val="●"/>
      <w:lvlJc w:val="left"/>
      <w:pPr>
        <w:ind w:left="5760" w:hanging="360"/>
      </w:pPr>
    </w:lvl>
    <w:lvl w:ilvl="8" w:tplc="C9BA7BAA">
      <w:start w:val="1"/>
      <w:numFmt w:val="bullet"/>
      <w:lvlText w:val="●"/>
      <w:lvlJc w:val="left"/>
      <w:pPr>
        <w:ind w:left="6480" w:hanging="360"/>
      </w:pPr>
    </w:lvl>
  </w:abstractNum>
  <w:num w:numId="1" w16cid:durableId="1888836581">
    <w:abstractNumId w:val="1"/>
    <w:lvlOverride w:ilvl="0">
      <w:startOverride w:val="1"/>
    </w:lvlOverride>
  </w:num>
  <w:num w:numId="2" w16cid:durableId="1517769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29"/>
    <w:rsid w:val="001B7376"/>
    <w:rsid w:val="00206AAF"/>
    <w:rsid w:val="0026296C"/>
    <w:rsid w:val="002C5779"/>
    <w:rsid w:val="00585863"/>
    <w:rsid w:val="00604E6B"/>
    <w:rsid w:val="008A4DA2"/>
    <w:rsid w:val="00915C29"/>
    <w:rsid w:val="009C37EB"/>
    <w:rsid w:val="00AD4E07"/>
    <w:rsid w:val="00E6112C"/>
    <w:rsid w:val="00E82B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8742"/>
  <w15:docId w15:val="{E6AB4EA8-00FD-4211-83AA-FE3F3189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2E75B6"/>
      </w:pBdr>
      <w:spacing w:before="480" w:after="160"/>
      <w:outlineLvl w:val="0"/>
    </w:pPr>
    <w:rPr>
      <w:b/>
      <w:bCs/>
      <w:color w:val="1F3864"/>
      <w:sz w:val="32"/>
      <w:szCs w:val="32"/>
    </w:rPr>
  </w:style>
  <w:style w:type="paragraph" w:styleId="Heading2">
    <w:name w:val="heading 2"/>
    <w:uiPriority w:val="9"/>
    <w:semiHidden/>
    <w:unhideWhenUsed/>
    <w:qFormat/>
    <w:pPr>
      <w:spacing w:before="32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1492</Words>
  <Characters>7669</Characters>
  <Application>Microsoft Office Word</Application>
  <DocSecurity>0</DocSecurity>
  <Lines>201</Lines>
  <Paragraphs>117</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Chase Ramone</cp:lastModifiedBy>
  <cp:revision>8</cp:revision>
  <dcterms:created xsi:type="dcterms:W3CDTF">2026-05-04T04:32:00Z</dcterms:created>
  <dcterms:modified xsi:type="dcterms:W3CDTF">2026-05-04T05:18:00Z</dcterms:modified>
</cp:coreProperties>
</file>