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85811" w14:textId="77777777" w:rsidR="00F23F6F" w:rsidRDefault="00F23F6F" w:rsidP="00F23F6F">
      <w:pPr>
        <w:rPr>
          <w:szCs w:val="23"/>
        </w:rPr>
      </w:pPr>
      <w:r w:rsidRPr="00D254F8">
        <w:rPr>
          <w:rFonts w:eastAsiaTheme="majorEastAsia"/>
          <w:b/>
          <w:i/>
        </w:rPr>
        <w:t xml:space="preserve">Step </w:t>
      </w:r>
      <w:r w:rsidRPr="00C607E4">
        <w:rPr>
          <w:rStyle w:val="Heading-3-inline"/>
          <w:rFonts w:ascii="Helvetica" w:hAnsi="Helvetica" w:cs="Arial"/>
          <w:szCs w:val="23"/>
        </w:rPr>
        <w:t xml:space="preserve">1. </w:t>
      </w:r>
      <w:r w:rsidRPr="00C607E4">
        <w:rPr>
          <w:rStyle w:val="Heading-3-inline"/>
          <w:rFonts w:ascii="Helvetica" w:hAnsi="Helvetica" w:cs="Arial"/>
          <w:szCs w:val="23"/>
          <w:u w:val="single"/>
        </w:rPr>
        <w:t>C</w:t>
      </w:r>
      <w:r w:rsidRPr="00AF3173">
        <w:rPr>
          <w:b/>
          <w:szCs w:val="23"/>
          <w:u w:val="single"/>
        </w:rPr>
        <w:t>linical scenario</w:t>
      </w:r>
      <w:r w:rsidRPr="007D0EFC">
        <w:rPr>
          <w:b/>
          <w:szCs w:val="23"/>
        </w:rPr>
        <w:t xml:space="preserve">: </w:t>
      </w:r>
      <w:r w:rsidRPr="00AF3173">
        <w:rPr>
          <w:szCs w:val="23"/>
        </w:rPr>
        <w:t>Prognosis of cutaneous T cell lymphoma (CTCL). In early stages of CTCL, patients (Stages IA-IIA) usually do well and have slowly progressive disease, which does not require aggressive therapy associated with substantial side effects. However, about 15% of these patients have unexpected progressive course and rapid demise.</w:t>
      </w:r>
    </w:p>
    <w:p w14:paraId="22B761B0" w14:textId="77777777" w:rsidR="00F23F6F" w:rsidRDefault="00F23F6F" w:rsidP="00F23F6F">
      <w:pPr>
        <w:rPr>
          <w:szCs w:val="23"/>
        </w:rPr>
      </w:pPr>
    </w:p>
    <w:p w14:paraId="702B6AC9" w14:textId="28326996" w:rsidR="00F23F6F" w:rsidRDefault="00F23F6F" w:rsidP="00F23F6F">
      <w:pPr>
        <w:rPr>
          <w:szCs w:val="23"/>
        </w:rPr>
      </w:pPr>
      <w:r w:rsidRPr="00AF3173">
        <w:rPr>
          <w:szCs w:val="23"/>
        </w:rPr>
        <w:t xml:space="preserve"> </w:t>
      </w:r>
      <w:r w:rsidRPr="00D254F8">
        <w:rPr>
          <w:rFonts w:eastAsiaTheme="majorEastAsia"/>
          <w:b/>
          <w:i/>
        </w:rPr>
        <w:t xml:space="preserve">Step </w:t>
      </w:r>
      <w:r w:rsidRPr="00AF3173">
        <w:rPr>
          <w:b/>
          <w:i/>
          <w:szCs w:val="23"/>
        </w:rPr>
        <w:t>2</w:t>
      </w:r>
      <w:r w:rsidRPr="00AF3173">
        <w:rPr>
          <w:szCs w:val="23"/>
        </w:rPr>
        <w:t xml:space="preserve">. </w:t>
      </w:r>
      <w:r w:rsidRPr="00AF3173">
        <w:rPr>
          <w:b/>
          <w:szCs w:val="23"/>
          <w:u w:val="single"/>
        </w:rPr>
        <w:t>Principal goal:</w:t>
      </w:r>
      <w:r w:rsidRPr="00AF3173">
        <w:rPr>
          <w:szCs w:val="23"/>
        </w:rPr>
        <w:t xml:space="preserve"> To identify, among </w:t>
      </w:r>
      <w:r w:rsidRPr="00381D62">
        <w:rPr>
          <w:szCs w:val="23"/>
          <w:u w:val="single"/>
        </w:rPr>
        <w:t>patients who are diagnosed with early stage CTCL</w:t>
      </w:r>
      <w:r w:rsidRPr="00AF3173">
        <w:rPr>
          <w:szCs w:val="23"/>
        </w:rPr>
        <w:t xml:space="preserve">, who should receive </w:t>
      </w:r>
      <w:r w:rsidR="0052588A">
        <w:rPr>
          <w:szCs w:val="23"/>
          <w:u w:val="single"/>
        </w:rPr>
        <w:t xml:space="preserve">immediate </w:t>
      </w:r>
      <w:r w:rsidRPr="00381D62">
        <w:rPr>
          <w:szCs w:val="23"/>
          <w:u w:val="single"/>
        </w:rPr>
        <w:t xml:space="preserve">aggressive therapy </w:t>
      </w:r>
      <w:r w:rsidR="00381D62">
        <w:rPr>
          <w:szCs w:val="23"/>
        </w:rPr>
        <w:t xml:space="preserve">and who should receive </w:t>
      </w:r>
      <w:r w:rsidR="00381D62">
        <w:rPr>
          <w:szCs w:val="23"/>
          <w:u w:val="single"/>
        </w:rPr>
        <w:t>stantard of care.</w:t>
      </w:r>
      <w:r w:rsidRPr="00AF3173">
        <w:rPr>
          <w:szCs w:val="23"/>
        </w:rPr>
        <w:t xml:space="preserve"> </w:t>
      </w:r>
    </w:p>
    <w:p w14:paraId="4CAC96A8" w14:textId="77777777" w:rsidR="00F23F6F" w:rsidRDefault="00F23F6F" w:rsidP="00F23F6F">
      <w:pPr>
        <w:rPr>
          <w:szCs w:val="23"/>
        </w:rPr>
      </w:pPr>
    </w:p>
    <w:p w14:paraId="141C8BC4" w14:textId="77777777" w:rsidR="00F23F6F" w:rsidRDefault="00F23F6F" w:rsidP="00F23F6F">
      <w:pPr>
        <w:rPr>
          <w:szCs w:val="23"/>
        </w:rPr>
      </w:pPr>
      <w:r w:rsidRPr="00D254F8">
        <w:rPr>
          <w:rFonts w:eastAsiaTheme="majorEastAsia"/>
          <w:b/>
          <w:i/>
        </w:rPr>
        <w:t xml:space="preserve">Step </w:t>
      </w:r>
      <w:r w:rsidRPr="00AF3173">
        <w:rPr>
          <w:b/>
          <w:i/>
          <w:szCs w:val="23"/>
        </w:rPr>
        <w:t>3</w:t>
      </w:r>
      <w:r w:rsidRPr="00AF3173">
        <w:rPr>
          <w:b/>
          <w:szCs w:val="23"/>
        </w:rPr>
        <w:t>.</w:t>
      </w:r>
      <w:r w:rsidRPr="00AF3173">
        <w:rPr>
          <w:szCs w:val="23"/>
        </w:rPr>
        <w:t xml:space="preserve"> </w:t>
      </w:r>
      <w:r w:rsidRPr="00AF3173">
        <w:rPr>
          <w:b/>
          <w:szCs w:val="23"/>
          <w:u w:val="single"/>
        </w:rPr>
        <w:t>Clinical benefit:</w:t>
      </w:r>
      <w:r w:rsidRPr="00AF3173">
        <w:rPr>
          <w:szCs w:val="23"/>
        </w:rPr>
        <w:t xml:space="preserve"> A biomarker progression risk model that is able to classify patients into high and low risk groups will enable personalized and more aggressive therapy for the patients at highest risk for progression. </w:t>
      </w:r>
    </w:p>
    <w:p w14:paraId="262AA4CA" w14:textId="77777777" w:rsidR="00F23F6F" w:rsidRDefault="00F23F6F" w:rsidP="00F23F6F">
      <w:pPr>
        <w:rPr>
          <w:szCs w:val="23"/>
        </w:rPr>
      </w:pPr>
    </w:p>
    <w:p w14:paraId="4D0090E7" w14:textId="58F0FE0E" w:rsidR="00F23F6F" w:rsidRDefault="00F23F6F" w:rsidP="00F23F6F">
      <w:pPr>
        <w:rPr>
          <w:szCs w:val="23"/>
        </w:rPr>
      </w:pPr>
      <w:r w:rsidRPr="00D254F8">
        <w:rPr>
          <w:rFonts w:eastAsiaTheme="majorEastAsia"/>
          <w:b/>
          <w:i/>
        </w:rPr>
        <w:t xml:space="preserve">Step </w:t>
      </w:r>
      <w:r w:rsidRPr="00AF3173">
        <w:rPr>
          <w:b/>
          <w:i/>
          <w:szCs w:val="23"/>
        </w:rPr>
        <w:t>4</w:t>
      </w:r>
      <w:r w:rsidRPr="00AF3173">
        <w:rPr>
          <w:b/>
          <w:szCs w:val="23"/>
        </w:rPr>
        <w:t xml:space="preserve">. </w:t>
      </w:r>
      <w:r w:rsidRPr="00AF3173">
        <w:rPr>
          <w:b/>
          <w:szCs w:val="23"/>
          <w:u w:val="single"/>
        </w:rPr>
        <w:t>Classification performance needed:</w:t>
      </w:r>
      <w:r w:rsidR="0052588A">
        <w:rPr>
          <w:b/>
          <w:szCs w:val="23"/>
          <w:u w:val="single"/>
        </w:rPr>
        <w:t xml:space="preserve"> </w:t>
      </w:r>
      <w:bookmarkStart w:id="0" w:name="_GoBack"/>
      <w:bookmarkEnd w:id="0"/>
      <w:r w:rsidR="0052588A">
        <w:rPr>
          <w:szCs w:val="23"/>
        </w:rPr>
        <w:t>T</w:t>
      </w:r>
      <w:r w:rsidRPr="00AF3173">
        <w:rPr>
          <w:szCs w:val="23"/>
        </w:rPr>
        <w:t>he PI stipulates that the classifier will have clinical utility if the “number needed to treat” (</w:t>
      </w:r>
      <w:r w:rsidRPr="00AF3173">
        <w:rPr>
          <w:i/>
          <w:szCs w:val="23"/>
        </w:rPr>
        <w:t>NNT</w:t>
      </w:r>
      <w:r w:rsidRPr="00AF3173">
        <w:rPr>
          <w:szCs w:val="23"/>
        </w:rPr>
        <w:t xml:space="preserve">) is less than </w:t>
      </w:r>
      <w:r w:rsidRPr="00AF3173">
        <w:rPr>
          <w:i/>
          <w:szCs w:val="23"/>
        </w:rPr>
        <w:t>NNT</w:t>
      </w:r>
      <w:r w:rsidRPr="00AF3173">
        <w:rPr>
          <w:i/>
          <w:szCs w:val="23"/>
          <w:vertAlign w:val="subscript"/>
        </w:rPr>
        <w:t>Lower</w:t>
      </w:r>
      <w:r w:rsidRPr="00AF3173">
        <w:rPr>
          <w:szCs w:val="23"/>
        </w:rPr>
        <w:t xml:space="preserve"> = 2 in the test-positive patients, and greater than </w:t>
      </w:r>
      <w:r w:rsidRPr="00AF3173">
        <w:rPr>
          <w:i/>
          <w:szCs w:val="23"/>
        </w:rPr>
        <w:t>NNT</w:t>
      </w:r>
      <w:r w:rsidRPr="00AF3173">
        <w:rPr>
          <w:i/>
          <w:szCs w:val="23"/>
          <w:vertAlign w:val="subscript"/>
        </w:rPr>
        <w:t>Upper</w:t>
      </w:r>
      <w:r w:rsidRPr="00AF3173">
        <w:rPr>
          <w:szCs w:val="23"/>
        </w:rPr>
        <w:t xml:space="preserve"> = 30 in the test-negative patients. Then 2 patients testing positive will need to receive aggressive treatment upfront in order to treat one patient who otherwise would suffer later rapid progressive CTCL, while in the test-negative patients one would have to treat an unacceptably high 30 patients to treat one patient in advance of progressive CTCL. This performance should suffice to create a clinical consensus supporting using the test for clinical decisions. </w:t>
      </w:r>
    </w:p>
    <w:p w14:paraId="29C3DE9D" w14:textId="77777777" w:rsidR="00F23F6F" w:rsidRDefault="00F23F6F" w:rsidP="00F23F6F">
      <w:pPr>
        <w:rPr>
          <w:szCs w:val="23"/>
        </w:rPr>
      </w:pPr>
    </w:p>
    <w:p w14:paraId="5A3FE7B4" w14:textId="77777777" w:rsidR="00F23F6F" w:rsidRDefault="00F23F6F" w:rsidP="00F23F6F">
      <w:pPr>
        <w:rPr>
          <w:szCs w:val="23"/>
        </w:rPr>
      </w:pPr>
      <w:r w:rsidRPr="00D254F8">
        <w:rPr>
          <w:rFonts w:eastAsiaTheme="majorEastAsia"/>
          <w:b/>
          <w:i/>
        </w:rPr>
        <w:t xml:space="preserve">Step </w:t>
      </w:r>
      <w:r w:rsidRPr="00AF3173">
        <w:rPr>
          <w:b/>
          <w:i/>
          <w:szCs w:val="23"/>
        </w:rPr>
        <w:t>5</w:t>
      </w:r>
      <w:r w:rsidRPr="00AF3173">
        <w:rPr>
          <w:b/>
          <w:szCs w:val="23"/>
        </w:rPr>
        <w:t xml:space="preserve">. </w:t>
      </w:r>
      <w:r w:rsidRPr="00AF3173">
        <w:rPr>
          <w:b/>
          <w:szCs w:val="23"/>
          <w:u w:val="single"/>
        </w:rPr>
        <w:t>Prospective study requirements</w:t>
      </w:r>
      <w:r w:rsidRPr="00AF3173">
        <w:rPr>
          <w:szCs w:val="23"/>
        </w:rPr>
        <w:t xml:space="preserve">: The values </w:t>
      </w:r>
      <w:r w:rsidRPr="00AF3173">
        <w:rPr>
          <w:i/>
          <w:szCs w:val="23"/>
        </w:rPr>
        <w:t>NNT</w:t>
      </w:r>
      <w:r w:rsidRPr="00AF3173">
        <w:rPr>
          <w:i/>
          <w:szCs w:val="23"/>
          <w:vertAlign w:val="subscript"/>
        </w:rPr>
        <w:t xml:space="preserve">Lower </w:t>
      </w:r>
      <w:r w:rsidRPr="00AF3173">
        <w:rPr>
          <w:szCs w:val="23"/>
        </w:rPr>
        <w:t xml:space="preserve">= 2 and </w:t>
      </w:r>
      <w:r w:rsidRPr="00AF3173">
        <w:rPr>
          <w:i/>
          <w:szCs w:val="23"/>
        </w:rPr>
        <w:t>NNT</w:t>
      </w:r>
      <w:r w:rsidRPr="00AF3173">
        <w:rPr>
          <w:i/>
          <w:szCs w:val="23"/>
          <w:vertAlign w:val="subscript"/>
        </w:rPr>
        <w:t xml:space="preserve">Upper </w:t>
      </w:r>
      <w:r w:rsidRPr="00AF3173">
        <w:rPr>
          <w:szCs w:val="23"/>
        </w:rPr>
        <w:t xml:space="preserve">= 30 correspond to the positive predictive value </w:t>
      </w:r>
      <w:r w:rsidRPr="00AF3173">
        <w:rPr>
          <w:i/>
          <w:szCs w:val="23"/>
        </w:rPr>
        <w:t>PPV</w:t>
      </w:r>
      <w:r w:rsidRPr="00AF3173">
        <w:rPr>
          <w:szCs w:val="23"/>
        </w:rPr>
        <w:t xml:space="preserve"> = 50% = 1/</w:t>
      </w:r>
      <w:r w:rsidRPr="00AF3173">
        <w:rPr>
          <w:i/>
          <w:szCs w:val="23"/>
        </w:rPr>
        <w:t>NNT</w:t>
      </w:r>
      <w:r w:rsidRPr="00AF3173">
        <w:rPr>
          <w:i/>
          <w:szCs w:val="23"/>
          <w:vertAlign w:val="subscript"/>
        </w:rPr>
        <w:t>Lower</w:t>
      </w:r>
      <w:r w:rsidRPr="00AF3173">
        <w:rPr>
          <w:szCs w:val="23"/>
        </w:rPr>
        <w:t xml:space="preserve">, and the negative predictive value </w:t>
      </w:r>
      <w:r w:rsidRPr="00AF3173">
        <w:rPr>
          <w:i/>
          <w:szCs w:val="23"/>
        </w:rPr>
        <w:t>NPV</w:t>
      </w:r>
      <w:r w:rsidRPr="00AF3173">
        <w:rPr>
          <w:szCs w:val="23"/>
        </w:rPr>
        <w:t xml:space="preserve"> = 97% = 1 – 1/</w:t>
      </w:r>
      <w:r w:rsidRPr="00AF3173">
        <w:rPr>
          <w:i/>
          <w:szCs w:val="23"/>
        </w:rPr>
        <w:t>NNT</w:t>
      </w:r>
      <w:r w:rsidRPr="00AF3173">
        <w:rPr>
          <w:i/>
          <w:szCs w:val="23"/>
          <w:vertAlign w:val="subscript"/>
        </w:rPr>
        <w:t>Upper</w:t>
      </w:r>
      <w:r w:rsidRPr="00AF3173">
        <w:rPr>
          <w:szCs w:val="23"/>
        </w:rPr>
        <w:t xml:space="preserve">. We will be able to recruit 40 patients in this early-stage group, over 3 years, with a minimum of 2 years follow-up thereafter. If the test divides the 40 patients into roughly 25% positive and 75% negative, and the estimates match the hoped-for values 2 and 30, the confidence intervals would be 19% to 81% for </w:t>
      </w:r>
      <w:r w:rsidRPr="00AF3173">
        <w:rPr>
          <w:i/>
          <w:szCs w:val="23"/>
        </w:rPr>
        <w:t>PPV</w:t>
      </w:r>
      <w:r w:rsidRPr="00AF3173">
        <w:rPr>
          <w:szCs w:val="23"/>
        </w:rPr>
        <w:t xml:space="preserve">, and 83% to 100% for </w:t>
      </w:r>
      <w:r w:rsidRPr="00AF3173">
        <w:rPr>
          <w:i/>
          <w:szCs w:val="23"/>
        </w:rPr>
        <w:t>NPV</w:t>
      </w:r>
      <w:r w:rsidRPr="00AF3173">
        <w:rPr>
          <w:szCs w:val="23"/>
        </w:rPr>
        <w:t>, or equivalently</w:t>
      </w:r>
      <w:r w:rsidRPr="00203702">
        <w:rPr>
          <w:szCs w:val="23"/>
        </w:rPr>
        <w:fldChar w:fldCharType="begin" w:fldLock="1"/>
      </w:r>
      <w:r>
        <w:rPr>
          <w:szCs w:val="23"/>
        </w:rPr>
        <w:instrText>ADDIN CSL_CITATION { "citationItems" : [ { "id" : "ITEM-1", "itemData" : { "DOI" : "10.1136/bmj.317.7168.1309", "ISSN" : "0959-8138", "PMID" : "9804726", "author" : [ { "dropping-particle" : "", "family" : "Altman", "given" : "D G", "non-dropping-particle" : "", "parse-names" : false, "suffix" : "" } ], "container-title" : "BMJ (Clinical research ed.)", "id" : "ITEM-1", "issue" : "7168", "issued" : { "date-parts" : [ [ "1998", "11", "7" ] ] }, "page" : "1309-12", "title" : "Confidence intervals for the number needed to treat.", "type" : "article-journal", "volume" : "317" }, "uris" : [ "http://www.mendeley.com/documents/?uuid=52c465f2-e867-45f2-911a-e406bec2ef26" ] } ], "mendeley" : { "formattedCitation" : "&lt;sup&gt;24&lt;/sup&gt;", "plainTextFormattedCitation" : "24", "previouslyFormattedCitation" : "&lt;sup&gt;24&lt;/sup&gt;" }, "properties" : { "noteIndex" : 0 }, "schema" : "https://github.com/citation-style-language/schema/raw/master/csl-citation.json" }</w:instrText>
      </w:r>
      <w:r w:rsidRPr="00203702">
        <w:rPr>
          <w:szCs w:val="23"/>
        </w:rPr>
        <w:fldChar w:fldCharType="separate"/>
      </w:r>
      <w:r w:rsidRPr="005F70F4">
        <w:rPr>
          <w:noProof/>
          <w:szCs w:val="23"/>
          <w:vertAlign w:val="superscript"/>
        </w:rPr>
        <w:t>24</w:t>
      </w:r>
      <w:r w:rsidRPr="00203702">
        <w:rPr>
          <w:szCs w:val="23"/>
        </w:rPr>
        <w:fldChar w:fldCharType="end"/>
      </w:r>
      <w:r w:rsidRPr="00AF3173">
        <w:rPr>
          <w:szCs w:val="23"/>
        </w:rPr>
        <w:t xml:space="preserve"> 1.23 to 5.35 for </w:t>
      </w:r>
      <w:r w:rsidRPr="00AF3173">
        <w:rPr>
          <w:i/>
          <w:szCs w:val="23"/>
        </w:rPr>
        <w:t>NNT</w:t>
      </w:r>
      <w:r w:rsidRPr="00AF3173">
        <w:rPr>
          <w:i/>
          <w:szCs w:val="23"/>
          <w:vertAlign w:val="subscript"/>
        </w:rPr>
        <w:t>Pos</w:t>
      </w:r>
      <w:r w:rsidRPr="00AF3173">
        <w:rPr>
          <w:szCs w:val="23"/>
        </w:rPr>
        <w:t>, and 5.81 to 1180</w:t>
      </w:r>
      <w:r w:rsidRPr="002A315E">
        <w:rPr>
          <w:rFonts w:eastAsia="MS Gothic"/>
          <w:color w:val="000000"/>
        </w:rPr>
        <w:t xml:space="preserve"> </w:t>
      </w:r>
      <w:r w:rsidRPr="00AF3173">
        <w:rPr>
          <w:szCs w:val="23"/>
        </w:rPr>
        <w:t xml:space="preserve">for </w:t>
      </w:r>
      <w:r w:rsidRPr="00AF3173">
        <w:rPr>
          <w:i/>
          <w:szCs w:val="23"/>
        </w:rPr>
        <w:t>NNT</w:t>
      </w:r>
      <w:r w:rsidRPr="00AF3173">
        <w:rPr>
          <w:i/>
          <w:szCs w:val="23"/>
          <w:vertAlign w:val="subscript"/>
        </w:rPr>
        <w:t>Neg</w:t>
      </w:r>
      <w:r w:rsidRPr="007D0EFC">
        <w:rPr>
          <w:szCs w:val="23"/>
        </w:rPr>
        <w:t xml:space="preserve">. </w:t>
      </w:r>
      <w:r w:rsidRPr="00AF3173">
        <w:rPr>
          <w:szCs w:val="23"/>
        </w:rPr>
        <w:t xml:space="preserve">The very wide confidence interval for </w:t>
      </w:r>
      <w:r w:rsidRPr="00AF3173">
        <w:rPr>
          <w:i/>
          <w:szCs w:val="23"/>
        </w:rPr>
        <w:t>PPV</w:t>
      </w:r>
      <w:r w:rsidRPr="00AF3173">
        <w:rPr>
          <w:szCs w:val="23"/>
        </w:rPr>
        <w:t xml:space="preserve"> is due to the low sample size and low prevalence combined with the low value for </w:t>
      </w:r>
      <w:r w:rsidRPr="00AF3173">
        <w:rPr>
          <w:i/>
          <w:szCs w:val="23"/>
        </w:rPr>
        <w:t>NNT</w:t>
      </w:r>
      <w:r w:rsidRPr="00AF3173">
        <w:rPr>
          <w:i/>
          <w:szCs w:val="23"/>
          <w:vertAlign w:val="subscript"/>
        </w:rPr>
        <w:t>Pos</w:t>
      </w:r>
      <w:r w:rsidRPr="00AF3173">
        <w:rPr>
          <w:szCs w:val="23"/>
        </w:rPr>
        <w:t xml:space="preserve">, which is strongly weighted towards avoiding unnecessary aggressive therapy. To obtain a more accurate </w:t>
      </w:r>
      <w:r>
        <w:rPr>
          <w:szCs w:val="23"/>
        </w:rPr>
        <w:t xml:space="preserve">and independent </w:t>
      </w:r>
      <w:r w:rsidRPr="00AF3173">
        <w:rPr>
          <w:szCs w:val="23"/>
        </w:rPr>
        <w:t xml:space="preserve">estimate of </w:t>
      </w:r>
      <w:r w:rsidRPr="00AF3173">
        <w:rPr>
          <w:i/>
          <w:szCs w:val="23"/>
        </w:rPr>
        <w:t>PPV</w:t>
      </w:r>
      <w:r>
        <w:rPr>
          <w:szCs w:val="23"/>
        </w:rPr>
        <w:t xml:space="preserve"> </w:t>
      </w:r>
      <w:r w:rsidRPr="00AF3173">
        <w:rPr>
          <w:szCs w:val="23"/>
        </w:rPr>
        <w:t xml:space="preserve">, we also plan a retrospective study. </w:t>
      </w:r>
    </w:p>
    <w:p w14:paraId="60A8C6D8" w14:textId="77777777" w:rsidR="00F23F6F" w:rsidRDefault="00F23F6F" w:rsidP="00F23F6F">
      <w:pPr>
        <w:rPr>
          <w:szCs w:val="23"/>
        </w:rPr>
      </w:pPr>
    </w:p>
    <w:p w14:paraId="45E1403C" w14:textId="77777777" w:rsidR="009B372A" w:rsidRPr="00F23F6F" w:rsidRDefault="00F23F6F">
      <w:pPr>
        <w:rPr>
          <w:szCs w:val="23"/>
        </w:rPr>
      </w:pPr>
      <w:r w:rsidRPr="00D254F8">
        <w:rPr>
          <w:rFonts w:eastAsiaTheme="majorEastAsia"/>
          <w:b/>
          <w:i/>
        </w:rPr>
        <w:t xml:space="preserve">Step </w:t>
      </w:r>
      <w:r w:rsidRPr="00AF3173">
        <w:rPr>
          <w:b/>
          <w:i/>
          <w:szCs w:val="23"/>
        </w:rPr>
        <w:t>6</w:t>
      </w:r>
      <w:r w:rsidRPr="00AF3173">
        <w:rPr>
          <w:b/>
          <w:szCs w:val="23"/>
        </w:rPr>
        <w:t xml:space="preserve">. </w:t>
      </w:r>
      <w:r w:rsidRPr="00AF3173">
        <w:rPr>
          <w:b/>
          <w:szCs w:val="23"/>
          <w:u w:val="single"/>
        </w:rPr>
        <w:t>Retrospective study requirements:</w:t>
      </w:r>
      <w:r w:rsidRPr="00AF3173">
        <w:rPr>
          <w:szCs w:val="23"/>
        </w:rPr>
        <w:t xml:space="preserve"> Combining </w:t>
      </w:r>
      <w:r w:rsidRPr="00AF3173">
        <w:rPr>
          <w:i/>
          <w:szCs w:val="23"/>
        </w:rPr>
        <w:t>PPV</w:t>
      </w:r>
      <w:r w:rsidRPr="00AF3173">
        <w:rPr>
          <w:szCs w:val="23"/>
        </w:rPr>
        <w:t xml:space="preserve"> and </w:t>
      </w:r>
      <w:r w:rsidRPr="00AF3173">
        <w:rPr>
          <w:i/>
          <w:szCs w:val="23"/>
        </w:rPr>
        <w:t>NPV</w:t>
      </w:r>
      <w:r w:rsidRPr="00AF3173">
        <w:rPr>
          <w:szCs w:val="23"/>
        </w:rPr>
        <w:t xml:space="preserve"> with an incidence of r</w:t>
      </w:r>
      <w:r w:rsidRPr="00AF3173">
        <w:rPr>
          <w:szCs w:val="23"/>
        </w:rPr>
        <w:t>apid progression</w:t>
      </w:r>
      <w:r w:rsidRPr="00AF3173">
        <w:rPr>
          <w:szCs w:val="23"/>
        </w:rPr>
        <w:t xml:space="preserve"> of 15%, the required sensitivity (</w:t>
      </w:r>
      <w:r w:rsidRPr="00AF3173">
        <w:rPr>
          <w:i/>
          <w:szCs w:val="23"/>
        </w:rPr>
        <w:t>SN</w:t>
      </w:r>
      <w:r w:rsidRPr="00AF3173">
        <w:rPr>
          <w:szCs w:val="23"/>
        </w:rPr>
        <w:t>) and specificity (</w:t>
      </w:r>
      <w:r w:rsidRPr="00AF3173">
        <w:rPr>
          <w:i/>
          <w:szCs w:val="23"/>
        </w:rPr>
        <w:t>SP</w:t>
      </w:r>
      <w:r w:rsidRPr="00AF3173">
        <w:rPr>
          <w:szCs w:val="23"/>
        </w:rPr>
        <w:t xml:space="preserve">) are 83.3% and 85.3%, respectively (contra-Bayes Theorem). To get a sense of the accuracy of anticipated estimates in the retrospective (case/control) portion of the study, we </w:t>
      </w:r>
      <w:r>
        <w:rPr>
          <w:szCs w:val="23"/>
        </w:rPr>
        <w:t>consider</w:t>
      </w:r>
      <w:r w:rsidRPr="00AF3173">
        <w:rPr>
          <w:szCs w:val="23"/>
        </w:rPr>
        <w:t xml:space="preserve"> anticipated results for samples sizes 22 cases (the entire complement of early stage CTCL who rapidly progressed) and 40 controls. </w:t>
      </w:r>
      <w:r>
        <w:rPr>
          <w:szCs w:val="23"/>
        </w:rPr>
        <w:t>For example, i</w:t>
      </w:r>
      <w:r w:rsidRPr="00AF3173">
        <w:rPr>
          <w:szCs w:val="23"/>
        </w:rPr>
        <w:t xml:space="preserve">f the estimates </w:t>
      </w:r>
      <w:r w:rsidRPr="00AF3173">
        <w:rPr>
          <w:i/>
          <w:szCs w:val="23"/>
        </w:rPr>
        <w:t>SN</w:t>
      </w:r>
      <w:r w:rsidRPr="00AF3173">
        <w:rPr>
          <w:szCs w:val="23"/>
        </w:rPr>
        <w:t xml:space="preserve">=18/22 = 82% and </w:t>
      </w:r>
      <w:r w:rsidRPr="00AF3173">
        <w:rPr>
          <w:i/>
          <w:szCs w:val="23"/>
        </w:rPr>
        <w:t>SP</w:t>
      </w:r>
      <w:r w:rsidRPr="00AF3173">
        <w:rPr>
          <w:szCs w:val="23"/>
        </w:rPr>
        <w:t xml:space="preserve">=34/40=85% are observed, then the corresponding confidence intervals will be 60%–95% for </w:t>
      </w:r>
      <w:r w:rsidRPr="00AF3173">
        <w:rPr>
          <w:i/>
          <w:szCs w:val="23"/>
        </w:rPr>
        <w:t>SN</w:t>
      </w:r>
      <w:r w:rsidRPr="00AF3173">
        <w:rPr>
          <w:szCs w:val="23"/>
        </w:rPr>
        <w:t xml:space="preserve">, and 70%–94% for </w:t>
      </w:r>
      <w:r w:rsidRPr="00AF3173">
        <w:rPr>
          <w:i/>
          <w:szCs w:val="23"/>
        </w:rPr>
        <w:t>SP</w:t>
      </w:r>
      <w:r w:rsidRPr="00AF3173">
        <w:rPr>
          <w:szCs w:val="23"/>
        </w:rPr>
        <w:t xml:space="preserve">, and Bayes predictive intervals will be (1.4, 2.7) for </w:t>
      </w:r>
      <w:r w:rsidRPr="00AF3173">
        <w:rPr>
          <w:i/>
          <w:szCs w:val="23"/>
        </w:rPr>
        <w:t>NNT</w:t>
      </w:r>
      <w:r w:rsidRPr="00AF3173">
        <w:rPr>
          <w:i/>
          <w:szCs w:val="23"/>
          <w:vertAlign w:val="subscript"/>
        </w:rPr>
        <w:t>Pos</w:t>
      </w:r>
      <w:r w:rsidRPr="00AF3173">
        <w:rPr>
          <w:szCs w:val="23"/>
        </w:rPr>
        <w:t xml:space="preserve"> , and (16.4, 87.8) for </w:t>
      </w:r>
      <w:r w:rsidRPr="00AF3173">
        <w:rPr>
          <w:i/>
          <w:szCs w:val="23"/>
        </w:rPr>
        <w:t>NNT</w:t>
      </w:r>
      <w:r w:rsidRPr="00AF3173">
        <w:rPr>
          <w:i/>
          <w:szCs w:val="23"/>
          <w:vertAlign w:val="subscript"/>
        </w:rPr>
        <w:t>Neg</w:t>
      </w:r>
      <w:r w:rsidRPr="00AF3173">
        <w:rPr>
          <w:szCs w:val="23"/>
        </w:rPr>
        <w:t xml:space="preserve"> . (These intervals derive from assuming independent Jeffreys priors for </w:t>
      </w:r>
      <w:r w:rsidRPr="00AF3173">
        <w:rPr>
          <w:i/>
          <w:szCs w:val="23"/>
        </w:rPr>
        <w:t>SN</w:t>
      </w:r>
      <w:r w:rsidRPr="00AF3173">
        <w:rPr>
          <w:szCs w:val="23"/>
        </w:rPr>
        <w:t xml:space="preserve"> and </w:t>
      </w:r>
      <w:r w:rsidRPr="00AF3173">
        <w:rPr>
          <w:i/>
          <w:szCs w:val="23"/>
        </w:rPr>
        <w:t>SP</w:t>
      </w:r>
      <w:r w:rsidRPr="00AF3173">
        <w:rPr>
          <w:szCs w:val="23"/>
        </w:rPr>
        <w:t>, sampling from joint independent posteriors incorporating the anticipated results, and applying Bayes theorem).</w:t>
      </w:r>
    </w:p>
    <w:sectPr w:rsidR="009B372A" w:rsidRPr="00F23F6F" w:rsidSect="007E35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03DB4"/>
    <w:multiLevelType w:val="multilevel"/>
    <w:tmpl w:val="72B4D6C8"/>
    <w:lvl w:ilvl="0">
      <w:start w:val="1"/>
      <w:numFmt w:val="none"/>
      <w:pStyle w:val="Heading1"/>
      <w:lvlText w:val="(A)."/>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
    <w:nsid w:val="66BF6F94"/>
    <w:multiLevelType w:val="hybridMultilevel"/>
    <w:tmpl w:val="48F2C6DE"/>
    <w:lvl w:ilvl="0" w:tplc="BCBCEF2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6F"/>
    <w:rsid w:val="0001002E"/>
    <w:rsid w:val="00020FE3"/>
    <w:rsid w:val="000D0C6E"/>
    <w:rsid w:val="001A75C5"/>
    <w:rsid w:val="003276E7"/>
    <w:rsid w:val="00353FDB"/>
    <w:rsid w:val="00381D62"/>
    <w:rsid w:val="004276AC"/>
    <w:rsid w:val="004325CF"/>
    <w:rsid w:val="004B4FFB"/>
    <w:rsid w:val="004C07CE"/>
    <w:rsid w:val="004F3AEB"/>
    <w:rsid w:val="0052588A"/>
    <w:rsid w:val="00574714"/>
    <w:rsid w:val="006F6C20"/>
    <w:rsid w:val="007E358C"/>
    <w:rsid w:val="0085375F"/>
    <w:rsid w:val="009669EA"/>
    <w:rsid w:val="009B372A"/>
    <w:rsid w:val="00A177E0"/>
    <w:rsid w:val="00AD0481"/>
    <w:rsid w:val="00B26B70"/>
    <w:rsid w:val="00CA1A4B"/>
    <w:rsid w:val="00F23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012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70"/>
    <w:rPr>
      <w:rFonts w:ascii="Times New Roman" w:eastAsia="Times New Roman" w:hAnsi="Times New Roman" w:cs="Times New Roman"/>
      <w:lang w:val="en-GB" w:eastAsia="en-US"/>
    </w:rPr>
  </w:style>
  <w:style w:type="paragraph" w:styleId="Heading1">
    <w:name w:val="heading 1"/>
    <w:basedOn w:val="Normal"/>
    <w:next w:val="Normal"/>
    <w:link w:val="Heading1Char"/>
    <w:uiPriority w:val="9"/>
    <w:qFormat/>
    <w:rsid w:val="00574714"/>
    <w:pPr>
      <w:keepNext/>
      <w:keepLines/>
      <w:numPr>
        <w:numId w:val="4"/>
      </w:numPr>
      <w:tabs>
        <w:tab w:val="clear" w:pos="360"/>
      </w:tabs>
      <w:spacing w:before="480" w:line="276" w:lineRule="auto"/>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uiPriority w:val="9"/>
    <w:unhideWhenUsed/>
    <w:qFormat/>
    <w:rsid w:val="003276E7"/>
    <w:pPr>
      <w:keepNext/>
      <w:numPr>
        <w:ilvl w:val="1"/>
        <w:numId w:val="3"/>
      </w:numPr>
      <w:spacing w:before="240" w:after="60"/>
      <w:outlineLvl w:val="1"/>
    </w:pPr>
    <w:rPr>
      <w:rFonts w:eastAsia="ＭＳ ゴシック" w:cstheme="minorBidi"/>
      <w:b/>
      <w:bCs/>
      <w:i/>
      <w:iCs/>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4B4FFB"/>
    <w:pPr>
      <w:widowControl w:val="0"/>
      <w:numPr>
        <w:numId w:val="1"/>
      </w:numPr>
      <w:spacing w:after="40" w:line="230" w:lineRule="exact"/>
      <w:ind w:right="403"/>
      <w:contextualSpacing/>
    </w:pPr>
    <w:rPr>
      <w:rFonts w:cs="Arial"/>
      <w:sz w:val="23"/>
    </w:rPr>
  </w:style>
  <w:style w:type="paragraph" w:styleId="BalloonText">
    <w:name w:val="Balloon Text"/>
    <w:basedOn w:val="Normal"/>
    <w:link w:val="BalloonTextChar"/>
    <w:uiPriority w:val="99"/>
    <w:semiHidden/>
    <w:qFormat/>
    <w:rsid w:val="00CA1A4B"/>
    <w:pPr>
      <w:widowControl w:val="0"/>
      <w:autoSpaceDE w:val="0"/>
      <w:autoSpaceDN w:val="0"/>
      <w:adjustRightInd w:val="0"/>
    </w:pPr>
    <w:rPr>
      <w:lang w:val="x-none" w:eastAsia="x-none"/>
    </w:rPr>
  </w:style>
  <w:style w:type="character" w:customStyle="1" w:styleId="BalloonTextChar">
    <w:name w:val="Balloon Text Char"/>
    <w:link w:val="BalloonText"/>
    <w:uiPriority w:val="99"/>
    <w:semiHidden/>
    <w:rsid w:val="00CA1A4B"/>
    <w:rPr>
      <w:lang w:val="x-none" w:eastAsia="x-none"/>
    </w:rPr>
  </w:style>
  <w:style w:type="paragraph" w:styleId="CommentText">
    <w:name w:val="annotation text"/>
    <w:basedOn w:val="Normal"/>
    <w:link w:val="CommentTextChar"/>
    <w:uiPriority w:val="99"/>
    <w:semiHidden/>
    <w:qFormat/>
    <w:rsid w:val="00020FE3"/>
    <w:pPr>
      <w:widowControl w:val="0"/>
      <w:autoSpaceDE w:val="0"/>
      <w:autoSpaceDN w:val="0"/>
      <w:adjustRightInd w:val="0"/>
    </w:pPr>
    <w:rPr>
      <w:lang w:val="x-none" w:eastAsia="x-none"/>
    </w:rPr>
  </w:style>
  <w:style w:type="character" w:customStyle="1" w:styleId="CommentTextChar">
    <w:name w:val="Comment Text Char"/>
    <w:link w:val="CommentText"/>
    <w:uiPriority w:val="99"/>
    <w:semiHidden/>
    <w:rsid w:val="00020FE3"/>
    <w:rPr>
      <w:lang w:val="x-none" w:eastAsia="x-none"/>
    </w:rPr>
  </w:style>
  <w:style w:type="character" w:customStyle="1" w:styleId="Heading1Char">
    <w:name w:val="Heading 1 Char"/>
    <w:basedOn w:val="DefaultParagraphFont"/>
    <w:link w:val="Heading1"/>
    <w:uiPriority w:val="9"/>
    <w:rsid w:val="0057471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link w:val="Heading2"/>
    <w:uiPriority w:val="9"/>
    <w:rsid w:val="003276E7"/>
    <w:rPr>
      <w:rFonts w:ascii="Arial" w:eastAsia="ＭＳ ゴシック" w:hAnsi="Arial"/>
      <w:b/>
      <w:bCs/>
      <w:i/>
      <w:iCs/>
      <w:sz w:val="28"/>
      <w:szCs w:val="28"/>
    </w:rPr>
  </w:style>
  <w:style w:type="paragraph" w:customStyle="1" w:styleId="MTDisplayEquation">
    <w:name w:val="MTDisplayEquation"/>
    <w:basedOn w:val="Normal"/>
    <w:next w:val="Normal"/>
    <w:rsid w:val="0085375F"/>
    <w:pPr>
      <w:tabs>
        <w:tab w:val="center" w:pos="4320"/>
        <w:tab w:val="right" w:pos="8640"/>
      </w:tabs>
    </w:pPr>
  </w:style>
  <w:style w:type="character" w:customStyle="1" w:styleId="Heading-3-inline">
    <w:name w:val="Heading-3-inline"/>
    <w:basedOn w:val="DefaultParagraphFont"/>
    <w:uiPriority w:val="1"/>
    <w:qFormat/>
    <w:rsid w:val="00F23F6F"/>
    <w:rPr>
      <w:rFonts w:ascii="Arial" w:eastAsiaTheme="majorEastAsia" w:hAnsi="Arial" w:cstheme="majorBidi"/>
      <w:b/>
      <w:bCs/>
      <w:i/>
      <w:iCs/>
      <w:color w:val="000000" w:themeColor="text1"/>
      <w:sz w:val="22"/>
      <w:szCs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70"/>
    <w:rPr>
      <w:rFonts w:ascii="Times New Roman" w:eastAsia="Times New Roman" w:hAnsi="Times New Roman" w:cs="Times New Roman"/>
      <w:lang w:val="en-GB" w:eastAsia="en-US"/>
    </w:rPr>
  </w:style>
  <w:style w:type="paragraph" w:styleId="Heading1">
    <w:name w:val="heading 1"/>
    <w:basedOn w:val="Normal"/>
    <w:next w:val="Normal"/>
    <w:link w:val="Heading1Char"/>
    <w:uiPriority w:val="9"/>
    <w:qFormat/>
    <w:rsid w:val="00574714"/>
    <w:pPr>
      <w:keepNext/>
      <w:keepLines/>
      <w:numPr>
        <w:numId w:val="4"/>
      </w:numPr>
      <w:tabs>
        <w:tab w:val="clear" w:pos="360"/>
      </w:tabs>
      <w:spacing w:before="480" w:line="276" w:lineRule="auto"/>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uiPriority w:val="9"/>
    <w:unhideWhenUsed/>
    <w:qFormat/>
    <w:rsid w:val="003276E7"/>
    <w:pPr>
      <w:keepNext/>
      <w:numPr>
        <w:ilvl w:val="1"/>
        <w:numId w:val="3"/>
      </w:numPr>
      <w:spacing w:before="240" w:after="60"/>
      <w:outlineLvl w:val="1"/>
    </w:pPr>
    <w:rPr>
      <w:rFonts w:eastAsia="ＭＳ ゴシック" w:cstheme="minorBidi"/>
      <w:b/>
      <w:bCs/>
      <w:i/>
      <w:iCs/>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4B4FFB"/>
    <w:pPr>
      <w:widowControl w:val="0"/>
      <w:numPr>
        <w:numId w:val="1"/>
      </w:numPr>
      <w:spacing w:after="40" w:line="230" w:lineRule="exact"/>
      <w:ind w:right="403"/>
      <w:contextualSpacing/>
    </w:pPr>
    <w:rPr>
      <w:rFonts w:cs="Arial"/>
      <w:sz w:val="23"/>
    </w:rPr>
  </w:style>
  <w:style w:type="paragraph" w:styleId="BalloonText">
    <w:name w:val="Balloon Text"/>
    <w:basedOn w:val="Normal"/>
    <w:link w:val="BalloonTextChar"/>
    <w:uiPriority w:val="99"/>
    <w:semiHidden/>
    <w:qFormat/>
    <w:rsid w:val="00CA1A4B"/>
    <w:pPr>
      <w:widowControl w:val="0"/>
      <w:autoSpaceDE w:val="0"/>
      <w:autoSpaceDN w:val="0"/>
      <w:adjustRightInd w:val="0"/>
    </w:pPr>
    <w:rPr>
      <w:lang w:val="x-none" w:eastAsia="x-none"/>
    </w:rPr>
  </w:style>
  <w:style w:type="character" w:customStyle="1" w:styleId="BalloonTextChar">
    <w:name w:val="Balloon Text Char"/>
    <w:link w:val="BalloonText"/>
    <w:uiPriority w:val="99"/>
    <w:semiHidden/>
    <w:rsid w:val="00CA1A4B"/>
    <w:rPr>
      <w:lang w:val="x-none" w:eastAsia="x-none"/>
    </w:rPr>
  </w:style>
  <w:style w:type="paragraph" w:styleId="CommentText">
    <w:name w:val="annotation text"/>
    <w:basedOn w:val="Normal"/>
    <w:link w:val="CommentTextChar"/>
    <w:uiPriority w:val="99"/>
    <w:semiHidden/>
    <w:qFormat/>
    <w:rsid w:val="00020FE3"/>
    <w:pPr>
      <w:widowControl w:val="0"/>
      <w:autoSpaceDE w:val="0"/>
      <w:autoSpaceDN w:val="0"/>
      <w:adjustRightInd w:val="0"/>
    </w:pPr>
    <w:rPr>
      <w:lang w:val="x-none" w:eastAsia="x-none"/>
    </w:rPr>
  </w:style>
  <w:style w:type="character" w:customStyle="1" w:styleId="CommentTextChar">
    <w:name w:val="Comment Text Char"/>
    <w:link w:val="CommentText"/>
    <w:uiPriority w:val="99"/>
    <w:semiHidden/>
    <w:rsid w:val="00020FE3"/>
    <w:rPr>
      <w:lang w:val="x-none" w:eastAsia="x-none"/>
    </w:rPr>
  </w:style>
  <w:style w:type="character" w:customStyle="1" w:styleId="Heading1Char">
    <w:name w:val="Heading 1 Char"/>
    <w:basedOn w:val="DefaultParagraphFont"/>
    <w:link w:val="Heading1"/>
    <w:uiPriority w:val="9"/>
    <w:rsid w:val="0057471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link w:val="Heading2"/>
    <w:uiPriority w:val="9"/>
    <w:rsid w:val="003276E7"/>
    <w:rPr>
      <w:rFonts w:ascii="Arial" w:eastAsia="ＭＳ ゴシック" w:hAnsi="Arial"/>
      <w:b/>
      <w:bCs/>
      <w:i/>
      <w:iCs/>
      <w:sz w:val="28"/>
      <w:szCs w:val="28"/>
    </w:rPr>
  </w:style>
  <w:style w:type="paragraph" w:customStyle="1" w:styleId="MTDisplayEquation">
    <w:name w:val="MTDisplayEquation"/>
    <w:basedOn w:val="Normal"/>
    <w:next w:val="Normal"/>
    <w:rsid w:val="0085375F"/>
    <w:pPr>
      <w:tabs>
        <w:tab w:val="center" w:pos="4320"/>
        <w:tab w:val="right" w:pos="8640"/>
      </w:tabs>
    </w:pPr>
  </w:style>
  <w:style w:type="character" w:customStyle="1" w:styleId="Heading-3-inline">
    <w:name w:val="Heading-3-inline"/>
    <w:basedOn w:val="DefaultParagraphFont"/>
    <w:uiPriority w:val="1"/>
    <w:qFormat/>
    <w:rsid w:val="00F23F6F"/>
    <w:rPr>
      <w:rFonts w:ascii="Arial" w:eastAsiaTheme="majorEastAsia" w:hAnsi="Arial" w:cstheme="majorBidi"/>
      <w:b/>
      <w:bCs/>
      <w:i/>
      <w:iCs/>
      <w:color w:val="000000" w:themeColor="text1"/>
      <w:sz w:val="22"/>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637</Words>
  <Characters>3636</Characters>
  <Application>Microsoft Macintosh Word</Application>
  <DocSecurity>0</DocSecurity>
  <Lines>30</Lines>
  <Paragraphs>8</Paragraphs>
  <ScaleCrop>false</ScaleCrop>
  <Company>University of Pittsburgh</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Day</dc:creator>
  <cp:keywords/>
  <dc:description/>
  <cp:lastModifiedBy>Roger Day</cp:lastModifiedBy>
  <cp:revision>3</cp:revision>
  <dcterms:created xsi:type="dcterms:W3CDTF">2015-08-12T15:11:00Z</dcterms:created>
  <dcterms:modified xsi:type="dcterms:W3CDTF">2015-08-20T16:53:00Z</dcterms:modified>
</cp:coreProperties>
</file>