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specification of the Emax model and the prior distribution for some of its parameters are based on three meta-analyses of clinical dose response that include more than 200 compounds (Thomas, 2014; Thomas &amp; Roy, 2017; Wu, 2017).  The model parameters are the placebo response (E0), the ED50, the drug effect at the targeted dose denoted by difTarget, and the Hill (slope) parameter, lambda.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logit of the placebo response will have a t-distribution with 5 degrees of freedom (df), centered at logit(0.15).  The scale parameter for the t-distribution will be 4, which yields a diffuse prior distribution (!reference).  A t-distribution with 5 df is used for the effect parameter, difTarget, which is also specified on the logit scale.  It is centered at 0, with a scale parameter of 4, also yielding a diffuse prior distribution. (! reference)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prior distribution for the (log(ED50),log(lambda)) is a bivariate t-distribution with 5 df, which was derived from the meta-analysis of past dose response studies.  The current projected value for the ED50 is p50=10 mg, which is based on (insert the basis for the projection here).  The prior distribution for log(ED50) is centered at the log(P50), with substantial uncertainty specified by the scale parameter of 1.73, which was derived from the meta-analysis. An approximate 80% prior prediction interval for the ED50 is approximately (P50/10,10P50).   The log(lambda) prior distribution is centered at 0, with variation determined by the scale parameter of 0.425, which was derived from the meta-analysis. An approximate 80% prior prediction interval for lambda is approximately (0.5,2).  The prior correlation between the parameters is -0.45, which was also determined from the meta-analysis.</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Bayesian model will be evaluated using Markov Chain Monte Carlo (MCMC) simulation.  The fitted model and posterior prediction intervals will be plotted along with the dose group sample means/proportions.  Convergence will be checked using trace plots, auto-correlation plots, and Gelman-Rubin divergence statistics. </w:t>
      </w:r>
    </w:p>
    <w:p>
      <w:pPr>
        <w:pStyle w:val="Normal"/>
      </w:pPr>
      <w:r>
        <w:t xml:space="preserv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Roy D. Analysis of clinical dose-response in small-molecule drug development: 2009-2014. Statistics in Biopharmaceutical Research 2017;9(2):137-46.</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Sweeney K, Somayaji V. Meta-analysis of clinical dose response in a large drug development portfolio. Statistics in Biopharmaceutical Research 2014;6(4):302-17.</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Wu J, Banerjee A, Jin B et al. Clinical dose-response for a broad set of biological products: A model-based meta-analysis. Statistical Methods in Medical Research 2018;27(9):2694-2721.</w:t>
      </w:r>
    </w:p>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2026-09-16T21:23:13Z</dcterms:modified>
  <cp:category/>
</cp:coreProperties>
</file>