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ourier New" w:hAnsi="Courier New" w:eastAsia="Courier New" w:cs="Courier New"/>
          <w:i w:val="false"/>
          <w:b w:val="false"/>
          <w:u w:val="none"/>
          <w:strike w:val="false"/>
          <w:sz w:val="20"/>
          <w:szCs w:val="20"/>
          <w:color w:val="000000"/>
        </w:rPr>
        <w:t xml:space="preserve">The specification of the Emax model and the prior distribution for some of its parameters are based on three meta-analyses of clinical dose response that include more than 200 compounds (Thomas, 2014; Thomas &amp; Roy, 2017; Wu, 2017).  The model parameters are the placebo response (E0), the ED50, the drug effect at the targeted dose denoted by difTarget, and the Hill (slope) parameter, lambda.  </w:t>
      </w:r>
    </w:p>
    <w:p>
      <w:pPr>
        <w:pStyle w:val="Normal"/>
      </w:pPr>
      <w:r>
        <w:t xml:space="preserve"> </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ourier New" w:hAnsi="Courier New" w:eastAsia="Courier New" w:cs="Courier New"/>
          <w:i w:val="false"/>
          <w:b w:val="false"/>
          <w:u w:val="none"/>
          <w:strike w:val="false"/>
          <w:sz w:val="20"/>
          <w:szCs w:val="20"/>
          <w:color w:val="000000"/>
        </w:rPr>
        <w:t xml:space="preserve">The logit of the placebo response will have a t-distribution with 5 degrees of freedom (df), centered at logit(0.15).  The scale parameter for the t-distribution will be 4, which yields a diffuse prior distribution (!reference).  A t-distribution with 5 df is used for the effect parameter, difTarget, which is also specified on the logit scale.  It is centered at 0, with a scale parameter of 4, also yielding a diffuse prior distribution. (! reference)  </w:t>
      </w:r>
    </w:p>
    <w:p>
      <w:pPr>
        <w:pStyle w:val="Normal"/>
      </w:pPr>
      <w:r>
        <w:t xml:space="preserve"> </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ourier New" w:hAnsi="Courier New" w:eastAsia="Courier New" w:cs="Courier New"/>
          <w:i w:val="false"/>
          <w:b w:val="false"/>
          <w:u w:val="none"/>
          <w:strike w:val="false"/>
          <w:sz w:val="20"/>
          <w:szCs w:val="20"/>
          <w:color w:val="000000"/>
        </w:rPr>
        <w:t xml:space="preserve">The prior distribution for the (log(ED50),log(lambda)) is a bivariate t-distribution with 5 df, which was derived from the meta-analysis of past dose response studies.  The current projected value for the ED50 is p50=10 mg, which is based on (insert the basis for the projection here).  The prior distribution for log(ED50) is centered at the log(P50), with substantial uncertainty specified by the scale parameter of 1.73, which was derived from the meta-analysis. An approximate 80% prior prediction interval for the ED50 is approximately (P50/10,10P50).   The log(lambda) prior distribution is centered at 0, with variation determined by the scale parameter of 0.425, which was derived from the meta-analysis. An approximate 80% prior prediction interval for lambda is approximately (0.5,2).  The prior correlation between the parameters is -0.45, which was also determined from the meta-analysis.</w:t>
      </w:r>
    </w:p>
    <w:p>
      <w:pPr>
        <w:pStyle w:val="Normal"/>
      </w:pPr>
      <w:r>
        <w:t xml:space="preserve"> </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ourier New" w:hAnsi="Courier New" w:eastAsia="Courier New" w:cs="Courier New"/>
          <w:i w:val="false"/>
          <w:b w:val="false"/>
          <w:u w:val="none"/>
          <w:strike w:val="false"/>
          <w:sz w:val="20"/>
          <w:szCs w:val="20"/>
          <w:color w:val="000000"/>
        </w:rPr>
        <w:t xml:space="preserve">The Bayesian model will be evaluated using Markov Chain Monte Carlo (MCMC) simulation.  The fitted model and posterior prediction intervals will be plotted along with the dose group sample means/proportions.  Convergence will be checked using trace plots, auto-correlation plots, and Gelman-Rubin divergence statistics. </w:t>
      </w:r>
    </w:p>
    <w:p>
      <w:pPr>
        <w:pStyle w:val="Normal"/>
      </w:pPr>
      <w:r>
        <w:t xml:space="preserve"> </w:t>
      </w:r>
    </w:p>
    <w:p>
      <w:pPr>
        <w:pStyle w:val="Normal"/>
      </w:pPr>
      <w:r>
        <w:t xml:space="preserve"> </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ourier New" w:hAnsi="Courier New" w:eastAsia="Courier New" w:cs="Courier New"/>
          <w:i w:val="false"/>
          <w:b w:val="false"/>
          <w:u w:val="none"/>
          <w:strike w:val="false"/>
          <w:sz w:val="20"/>
          <w:szCs w:val="20"/>
          <w:color w:val="000000"/>
        </w:rPr>
        <w:t xml:space="preserve">Thomas N, Roy D. Analysis of clinical dose-response in small-molecule drug development: 2009-2014. Statistics in Biopharmaceutical Research 2017;9(2):137-46.</w:t>
      </w:r>
    </w:p>
    <w:p>
      <w:pPr>
        <w:pStyle w:val="Normal"/>
      </w:pPr>
      <w:r>
        <w:t xml:space="preserve"> </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ourier New" w:hAnsi="Courier New" w:eastAsia="Courier New" w:cs="Courier New"/>
          <w:i w:val="false"/>
          <w:b w:val="false"/>
          <w:u w:val="none"/>
          <w:strike w:val="false"/>
          <w:sz w:val="20"/>
          <w:szCs w:val="20"/>
          <w:color w:val="000000"/>
        </w:rPr>
        <w:t xml:space="preserve">Thomas N, Sweeney K, Somayaji V. Meta-analysis of clinical dose response in a large drug development portfolio. Statistics in Biopharmaceutical Research 2014;6(4):302-17.</w:t>
      </w:r>
    </w:p>
    <w:p>
      <w:pPr>
        <w:pStyle w:val="Normal"/>
      </w:pPr>
      <w:r>
        <w:t xml:space="preserve"> </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ourier New" w:hAnsi="Courier New" w:eastAsia="Courier New" w:cs="Courier New"/>
          <w:i w:val="false"/>
          <w:b w:val="false"/>
          <w:u w:val="none"/>
          <w:strike w:val="false"/>
          <w:sz w:val="20"/>
          <w:szCs w:val="20"/>
          <w:color w:val="000000"/>
        </w:rPr>
        <w:t xml:space="preserve">Wu J, Banerjee A, Jin B et al. Clinical dose-response for a broad set of biological products: A model-based meta-analysis. Statistical Methods in Medical Research 2018;27(9):2694-2721.</w:t>
      </w:r>
    </w:p>
    <w:p>
      <w:pPr>
        <w:pStyle w:val="Normal"/>
      </w:pPr>
      <w:r>
        <w:t xml:space="preserve"> </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2026-09-20T16:00:40Z</dcterms:modified>
  <cp:category/>
</cp:coreProperties>
</file>