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specification of the Emax model and the prior distribution for some of its parameters are based on three meta-analyses of clinical dose response that include more than 200 compounds (Thomas, 2014; Thomas &amp; Roy, 2017; Wu, 2017).  The model parameters are the placebo response (E0), the ED50, the drug effect at the targeted dose denoted by difTarget, and the Hill (slope) parameter, lambda.  </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logit of the placebo response will have a t-distribution with 5 degrees of freedom (df), centered at logit(0.15).  The scale parameter for the t-distribution will be 4, which yields a diffuse prior distribution (!reference).  A t-distribution with 5 df is used for the effect parameter, difTarget, which is also specified on the logit scale.  It is centered at 0, with a scale parameter of 4, also yielding a diffuse prior distribution. (! reference)  </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prior distribution for the (log(ED50),log(lambda)) is a bivariate t-distribution with 5 df, which was derived from the meta-analysis of past dose response studies.  The current projected value for the ED50 is p50=10 mg, which is based on (insert the basis for the projection here).  The prior distribution for log(ED50) is centered at the log(P50), with substantial uncertainty specified by the scale parameter of 1.73, which was derived from the meta-analysis. An approximate 80% prior prediction interval for the ED50 is approximately (P50/10,10P50).   The log(lambda) prior distribution is centered at 0, with variation determined by the scale parameter of 0.425, which was derived from the meta-analysis. An approximate 80% prior prediction interval for lambda is approximately (0.5,2).  The prior correlation between the parameters is -0.45, which was also determined from the meta-analysis.</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The Bayesian model will be evaluated using Markov Chain Monte Carlo (MCMC) simulation.  The fitted model and posterior prediction intervals will be plotted along with the dose group sample means/proportions.  Convergence will be checked using trace plots, auto-correlation plots, and Gelman-Rubin divergence statistics. </w:t>
      </w:r>
    </w:p>
    <w:p>
      <w:pPr>
        <w:pStyle w:val="Normal"/>
      </w:pPr>
      <w:r>
        <w:t xml:space="preserve"> </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Thomas N, Roy D. Analysis of clinical dose-response in small-molecule drug development: 2009-2014. Statistics in Biopharmaceutical Research 2017;9(2):137-46.</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Thomas N, Sweeney K, Somayaji V. Meta-analysis of clinical dose response in a large drug development portfolio. Statistics in Biopharmaceutical Research 2014;6(4):302-17.</w:t>
      </w:r>
    </w:p>
    <w:p>
      <w:pPr>
        <w:pStyle w:val="Normal"/>
      </w:pPr>
      <w:r>
        <w:t xml:space="preserve"> </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ourier New" w:hAnsi="Courier New" w:eastAsia="Courier New" w:cs="Courier New"/>
          <w:i w:val="false"/>
          <w:b w:val="false"/>
          <w:u w:val="none"/>
          <w:strike w:val="false"/>
          <w:sz w:val="20"/>
          <w:szCs w:val="20"/>
          <w:color w:val="000000"/>
        </w:rPr>
        <w:t xml:space="preserve">Wu J, Banerjee A, Jin B et al. Clinical dose-response for a broad set of biological products: A model-based meta-analysis. Statistical Methods in Medical Research 2018;27(9):2694-2721.</w:t>
      </w:r>
    </w:p>
    <w:p>
      <w:pPr>
        <w:pStyle w:val="Normal"/>
      </w:pPr>
      <w:r>
        <w:t xml:space="preserve">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2026-09-20T20:21:36Z</dcterms:modified>
  <cp:category/>
</cp:coreProperties>
</file>