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《智能流体传动与控制》作业 6-3</w:t>
      </w:r>
    </w:p>
    <w:p>
      <w:r>
        <w:t>死区逆补偿失配的鲁棒性边界与 tanh 光滑化</w:t>
      </w:r>
    </w:p>
    <w:p>
      <w:pPr>
        <w:pStyle w:val="Heading1"/>
      </w:pPr>
      <w:r>
        <w:t>1. 任务与共同实验条件</w:t>
      </w:r>
    </w:p>
    <w:p>
      <w:r>
        <w:t>按第六章 PPT 课后习题 6-3，比较欠补偿、硬过补偿和连续 tanh 逆补偿，提取全周期及第二次过零附近的控制电压、实际阀口有效信号和速度，并用 β 扫描量化平台、颤振和跟踪误差之间的取舍。原材料保存在 materials/。</w:t>
      </w:r>
    </w:p>
    <w:tbl>
      <w:tblPr>
        <w:tblW w:type="auto" w:w="0"/>
        <w:tblLayout w:type="autofit"/>
        <w:tblLook w:firstColumn="1" w:firstRow="1" w:lastColumn="0" w:lastRow="0" w:noHBand="0" w:noVBand="1" w:val="04A0"/>
        <w:tblBorders>
          <w:top w:val="single" w:sz="8" w:color="555555"/>
          <w:bottom w:val="single" w:sz="8" w:color="555555"/>
          <w:left w:val="nil" w:sz="8" w:color="555555"/>
          <w:right w:val="nil" w:sz="8" w:color="555555"/>
          <w:insideH w:val="nil" w:sz="8" w:color="555555"/>
          <w:insideV w:val="nil" w:sz="8" w:color="555555"/>
        </w:tblBorders>
      </w:tblPr>
      <w:tblGrid>
        <w:gridCol w:w="5184"/>
        <w:gridCol w:w="5184"/>
      </w:tblGrid>
      <w:tr>
        <w:tc>
          <w:tcPr>
            <w:tcW w:type="dxa" w:w="5184"/>
            <w:tcBorders>
              <w:bottom w:val="single" w:sz="6"/>
            </w:tcBorders>
          </w:tcPr>
          <w:p>
            <w:r>
              <w:rPr>
                <w:b/>
              </w:rPr>
              <w:t>参数</w:t>
            </w:r>
          </w:p>
        </w:tc>
        <w:tc>
          <w:tcPr>
            <w:tcW w:type="dxa" w:w="5184"/>
            <w:tcBorders>
              <w:bottom w:val="single" w:sz="6"/>
            </w:tcBorders>
          </w:tcPr>
          <w:p>
            <w:r>
              <w:rPr>
                <w:b/>
              </w:rPr>
              <w:t>本次设置</w:t>
            </w:r>
          </w:p>
        </w:tc>
      </w:tr>
      <w:tr>
        <w:tc>
          <w:tcPr>
            <w:tcW w:type="dxa" w:w="5184"/>
          </w:tcPr>
          <w:p>
            <w:r>
              <w:t>参考指令</w:t>
            </w:r>
          </w:p>
        </w:tc>
        <w:tc>
          <w:tcPr>
            <w:tcW w:type="dxa" w:w="5184"/>
          </w:tcPr>
          <w:p>
            <w:r>
              <w:t>u_ref=5 sin(2π·0.1t) V</w:t>
            </w:r>
          </w:p>
        </w:tc>
      </w:tr>
      <w:tr>
        <w:tc>
          <w:tcPr>
            <w:tcW w:type="dxa" w:w="5184"/>
          </w:tcPr>
          <w:p>
            <w:r>
              <w:t>控制采样 / 仿真时长</w:t>
            </w:r>
          </w:p>
        </w:tc>
        <w:tc>
          <w:tcPr>
            <w:tcW w:type="dxa" w:w="5184"/>
          </w:tcPr>
          <w:p>
            <w:r>
              <w:t>1 ms / 10 s</w:t>
            </w:r>
          </w:p>
        </w:tc>
      </w:tr>
      <w:tr>
        <w:tc>
          <w:tcPr>
            <w:tcW w:type="dxa" w:w="5184"/>
          </w:tcPr>
          <w:p>
            <w:r>
              <w:t>真实阀芯死区</w:t>
            </w:r>
          </w:p>
        </w:tc>
        <w:tc>
          <w:tcPr>
            <w:tcW w:type="dxa" w:w="5184"/>
          </w:tcPr>
          <w:p>
            <w:r>
              <w:t>±0.5 V</w:t>
            </w:r>
          </w:p>
        </w:tc>
      </w:tr>
      <w:tr>
        <w:tc>
          <w:tcPr>
            <w:tcW w:type="dxa" w:w="5184"/>
          </w:tcPr>
          <w:p>
            <w:r>
              <w:t>欠补偿 / 过补偿估计</w:t>
            </w:r>
          </w:p>
        </w:tc>
        <w:tc>
          <w:tcPr>
            <w:tcW w:type="dxa" w:w="5184"/>
          </w:tcPr>
          <w:p>
            <w:r>
              <w:t>0.4 / 0.6 V</w:t>
            </w:r>
          </w:p>
        </w:tc>
      </w:tr>
      <w:tr>
        <w:tc>
          <w:tcPr>
            <w:tcW w:type="dxa" w:w="5184"/>
          </w:tcPr>
          <w:p>
            <w:r>
              <w:t>基准 β / 扫描</w:t>
            </w:r>
          </w:p>
        </w:tc>
        <w:tc>
          <w:tcPr>
            <w:tcW w:type="dxa" w:w="5184"/>
          </w:tcPr>
          <w:p>
            <w:r>
              <w:t>18 V⁻¹ / [5.0, 18.0, 50.0]</w:t>
            </w:r>
          </w:p>
        </w:tc>
      </w:tr>
      <w:tr>
        <w:tc>
          <w:tcPr>
            <w:tcW w:type="dxa" w:w="5184"/>
          </w:tcPr>
          <w:p>
            <w:r>
              <w:t>等效速度增益 Kv</w:t>
            </w:r>
          </w:p>
        </w:tc>
        <w:tc>
          <w:tcPr>
            <w:tcW w:type="dxa" w:w="5184"/>
          </w:tcPr>
          <w:p>
            <w:r>
              <w:t>0.01 m/(s·V)</w:t>
            </w:r>
          </w:p>
        </w:tc>
      </w:tr>
      <w:tr>
        <w:tc>
          <w:tcPr>
            <w:tcW w:type="dxa" w:w="5184"/>
          </w:tcPr>
          <w:p>
            <w:r>
              <w:t>阀 / 速度时间常数</w:t>
            </w:r>
          </w:p>
        </w:tc>
        <w:tc>
          <w:tcPr>
            <w:tcW w:type="dxa" w:w="5184"/>
          </w:tcPr>
          <w:p>
            <w:r>
              <w:t>τv=0.8 ms；τm=12 ms</w:t>
            </w:r>
          </w:p>
        </w:tc>
      </w:tr>
      <w:tr>
        <w:tc>
          <w:tcPr>
            <w:tcW w:type="dxa" w:w="5184"/>
          </w:tcPr>
          <w:p>
            <w:r>
              <w:t>反馈参数</w:t>
            </w:r>
          </w:p>
        </w:tc>
        <w:tc>
          <w:tcPr>
            <w:tcW w:type="dxa" w:w="5184"/>
          </w:tcPr>
          <w:p>
            <w:r>
              <w:t>Kp=4，Ki=0，Kd=0</w:t>
            </w:r>
          </w:p>
        </w:tc>
      </w:tr>
      <w:tr>
        <w:tc>
          <w:tcPr>
            <w:tcW w:type="dxa" w:w="5184"/>
          </w:tcPr>
          <w:p>
            <w:r>
              <w:t>测量噪声标准差</w:t>
            </w:r>
          </w:p>
        </w:tc>
        <w:tc>
          <w:tcPr>
            <w:tcW w:type="dxa" w:w="5184"/>
          </w:tcPr>
          <w:p>
            <w:r>
              <w:t>0 mm/s</w:t>
            </w:r>
          </w:p>
        </w:tc>
      </w:tr>
      <w:tr>
        <w:tc>
          <w:tcPr>
            <w:tcW w:type="dxa" w:w="5184"/>
          </w:tcPr>
          <w:p>
            <w:r>
              <w:t>换向统计窗口</w:t>
            </w:r>
          </w:p>
        </w:tc>
        <w:tc>
          <w:tcPr>
            <w:tcW w:type="dxa" w:w="5184"/>
          </w:tcPr>
          <w:p>
            <w:r>
              <w:t>4.55–5.45 s</w:t>
            </w:r>
          </w:p>
        </w:tc>
      </w:tr>
    </w:tbl>
    <w:p>
      <w:r>
        <w:t>速度参考为 v_d=Kv·u_ref，幅值 50 mm/s。Kv 用于参考图的速度标度，τm、τv 为参考所用的等效时间尺度；这些参数不是设备辨识结果。三组从共同零阀位、零速度初态出发，共用参考、反馈和采样时钟，只改变死区估计或逆映射。材料中的模块三原代码作为参考保留，本题实际入口使用局部等效模型接口。</w:t>
      </w:r>
    </w:p>
    <w:p>
      <w:pPr>
        <w:pStyle w:val="Heading1"/>
      </w:pPr>
      <w:r>
        <w:t>2. 模型、控制结构与数学机理</w:t>
      </w:r>
    </w:p>
    <w:p>
      <w:r>
        <w:t>本题采用局部低频阀–速度等效通道，不是完整双腔液压数字孪生：</w:t>
        <w:br/>
        <w:t>τv·du_v/dt=u−u_v；u_eff=sign(u_v)·max(|u_v|−δ,0)；</w:t>
        <w:br/>
        <w:t>τm·dv/dt+v=Kv·u_eff。</w:t>
        <w:br/>
        <w:t>其中 u_v 是实际阀芯的等效电压，u_eff 仍是电压信号，不是阀芯位移。真实死区作用在阀动态之后，不能直接用 deadzone(u) 替代 deadzone(u_v)。每个采样区间保持 u，求出阀芯穿越死区边界的精确时刻，按固定分支解析积分速度，未用 Euler 制造振荡，也未注入纹波或裁剪模型输出。</w:t>
      </w:r>
    </w:p>
    <w:p>
      <w:r>
        <w:t>共同控制器为等效线性逆前馈加速度残差反馈，再整体通过死区逆映射：</w:t>
        <w:br/>
        <w:t>u_lin=(v_d+τm·a_d)/Kv+PID((v_d−v_meas)/Kv)；</w:t>
        <w:br/>
        <w:t>硬补偿：u=u_lin+δ_hat·sign(u_lin)，零位保护区输出为零；</w:t>
        <w:br/>
        <w:t>光滑补偿：u=u_lin+δ_hat·tanh(βu_lin)。</w:t>
        <w:br/>
        <w:t>实际执行电压最终限制在 ±10 V。反馈先参与 u_lin 合成，再进入逆映射；返回的补偿分量包含非线性映射作用，不能直接当作原始线性 PID 值。</w:t>
      </w:r>
    </w:p>
    <w:p>
      <w:r>
        <w:t>本次只启用比例反馈，以隔离死区失配，不混入积分累积或微分噪声；代码保留数字 PID 接口。反馈误差以 Kv 归一化为等效电压。</w:t>
      </w:r>
    </w:p>
    <w:p>
      <w:r>
        <w:t>忽略动态与零位保护时，欠补偿的复合静态通道留下 δ−δ_hat 的输入阈值。硬过补偿在零点两侧形成反向跳变，但 sign 本身不自动产生持续颤振：只有反馈、采样及阀/速度动态使 u_lin 反复跨零，才形成闭环高频翻转。因此本例颤振幅值与频率依赖采样、反馈增益及等效对象参数，不能解释为固有液压模态。</w:t>
      </w:r>
    </w:p>
    <w:p>
      <w:r>
        <w:t>有限 β 的 tanh 映射连续，却仍可能小于真实硬死区阈值。正残余阈值 z0 满足 z0+δ_hat·tanh(βz0)=δ；只要 z0&gt;0，静态复合映射就仍有平台。β 增大通常缩小该静态平台，同时把逆映射零点斜率提高到 1+δ_hat·β，趋近硬补偿。离散闭环可能出现更多翻转、极限环甚至失稳风险；是否出现以及表现多大必须看本次数据，不能预设 β=18 在所有指标上最好。</w:t>
      </w:r>
    </w:p>
    <w:p>
      <w:pPr>
        <w:pStyle w:val="Heading1"/>
      </w:pPr>
      <w:r>
        <w:t>3. 指标口径与三策略实测结果</w:t>
      </w:r>
    </w:p>
    <w:p>
      <w:r>
        <w:t>流量关闭平台按换向窗口内 |u_v|≤0.5 V 统计，对相邻采样作分段线性阈值重建，报告最长连续时长及累计时长；不是连续时间精确事件长度。速度近零另用 |v|≤0.5 mm/s 判据。阀口关闭时速度仍可因惯性衰减，所以两个平台指标不等价，也不能把近零速度称为严格静止。</w:t>
      </w:r>
    </w:p>
    <w:p>
      <w:r>
        <w:t>颤振峰峰值取完整控制电压经 4 阶 20 Hz Butterworth 高通的零相位 sosfiltfilt 分量，再在换向窗口内计算。该离线过滤只定义诊断指标，不进入反馈或结果曲线；并列相邻采样最大跳变和 u_lin 符号翻转数，避免把低频正弦跨度误称颤振。单次快速换向也包含高频频谱，不能只凭高通峰峰值断言持续极限环。速度转折次数和超额总变差（总变差减首尾净变差）用于补充识别真实模型速度的反复变化。速度 RMSE 相对线性标度参考计算，分别列全周期与换向窗口值。</w:t>
      </w:r>
    </w:p>
    <w:tbl>
      <w:tblPr>
        <w:tblW w:type="auto" w:w="0"/>
        <w:tblLayout w:type="autofit"/>
        <w:tblLook w:firstColumn="1" w:firstRow="1" w:lastColumn="0" w:lastRow="0" w:noHBand="0" w:noVBand="1" w:val="04A0"/>
        <w:tblBorders>
          <w:top w:val="single" w:sz="8" w:color="555555"/>
          <w:bottom w:val="single" w:sz="8" w:color="555555"/>
          <w:left w:val="nil" w:sz="8" w:color="555555"/>
          <w:right w:val="nil" w:sz="8" w:color="555555"/>
          <w:insideH w:val="nil" w:sz="8" w:color="555555"/>
          <w:insideV w:val="nil" w:sz="8" w:color="555555"/>
        </w:tblBorders>
      </w:tblPr>
      <w:tblGrid>
        <w:gridCol w:w="2592"/>
        <w:gridCol w:w="2592"/>
        <w:gridCol w:w="2592"/>
        <w:gridCol w:w="2592"/>
      </w:tblGrid>
      <w:tr>
        <w:tc>
          <w:tcPr>
            <w:tcW w:type="dxa" w:w="2592"/>
            <w:tcBorders>
              <w:bottom w:val="single" w:sz="6"/>
            </w:tcBorders>
          </w:tcPr>
          <w:p>
            <w:r>
              <w:rPr>
                <w:b/>
              </w:rPr>
              <w:t>指标</w:t>
            </w:r>
          </w:p>
        </w:tc>
        <w:tc>
          <w:tcPr>
            <w:tcW w:type="dxa" w:w="2592"/>
            <w:tcBorders>
              <w:bottom w:val="single" w:sz="6"/>
            </w:tcBorders>
          </w:tcPr>
          <w:p>
            <w:r>
              <w:rPr>
                <w:b/>
              </w:rPr>
              <w:t>A 欠补偿</w:t>
            </w:r>
          </w:p>
        </w:tc>
        <w:tc>
          <w:tcPr>
            <w:tcW w:type="dxa" w:w="2592"/>
            <w:tcBorders>
              <w:bottom w:val="single" w:sz="6"/>
            </w:tcBorders>
          </w:tcPr>
          <w:p>
            <w:r>
              <w:rPr>
                <w:b/>
              </w:rPr>
              <w:t>B 硬过补偿</w:t>
            </w:r>
          </w:p>
        </w:tc>
        <w:tc>
          <w:tcPr>
            <w:tcW w:type="dxa" w:w="2592"/>
            <w:tcBorders>
              <w:bottom w:val="single" w:sz="6"/>
            </w:tcBorders>
          </w:tcPr>
          <w:p>
            <w:r>
              <w:rPr>
                <w:b/>
              </w:rPr>
              <w:t>C tanh 光滑补偿</w:t>
            </w:r>
          </w:p>
        </w:tc>
      </w:tr>
      <w:tr>
        <w:tc>
          <w:tcPr>
            <w:tcW w:type="dxa" w:w="2592"/>
          </w:tcPr>
          <w:p>
            <w:r>
              <w:t>最长流量关闭平台 / ms</w:t>
            </w:r>
          </w:p>
        </w:tc>
        <w:tc>
          <w:tcPr>
            <w:tcW w:type="dxa" w:w="2592"/>
          </w:tcPr>
          <w:p>
            <w:r>
              <w:t>21.600</w:t>
            </w:r>
          </w:p>
        </w:tc>
        <w:tc>
          <w:tcPr>
            <w:tcW w:type="dxa" w:w="2592"/>
          </w:tcPr>
          <w:p>
            <w:r>
              <w:t>2.629</w:t>
            </w:r>
          </w:p>
        </w:tc>
        <w:tc>
          <w:tcPr>
            <w:tcW w:type="dxa" w:w="2592"/>
          </w:tcPr>
          <w:p>
            <w:r>
              <w:t>16.309</w:t>
            </w:r>
          </w:p>
        </w:tc>
      </w:tr>
      <w:tr>
        <w:tc>
          <w:tcPr>
            <w:tcW w:type="dxa" w:w="2592"/>
          </w:tcPr>
          <w:p>
            <w:r>
              <w:t>累计流量关闭时长 / ms</w:t>
            </w:r>
          </w:p>
        </w:tc>
        <w:tc>
          <w:tcPr>
            <w:tcW w:type="dxa" w:w="2592"/>
          </w:tcPr>
          <w:p>
            <w:r>
              <w:t>21.600</w:t>
            </w:r>
          </w:p>
        </w:tc>
        <w:tc>
          <w:tcPr>
            <w:tcW w:type="dxa" w:w="2592"/>
          </w:tcPr>
          <w:p>
            <w:r>
              <w:t>24.439</w:t>
            </w:r>
          </w:p>
        </w:tc>
        <w:tc>
          <w:tcPr>
            <w:tcW w:type="dxa" w:w="2592"/>
          </w:tcPr>
          <w:p>
            <w:r>
              <w:t>16.309</w:t>
            </w:r>
          </w:p>
        </w:tc>
      </w:tr>
      <w:tr>
        <w:tc>
          <w:tcPr>
            <w:tcW w:type="dxa" w:w="2592"/>
          </w:tcPr>
          <w:p>
            <w:r>
              <w:t>最长速度近零时长 / ms</w:t>
            </w:r>
          </w:p>
        </w:tc>
        <w:tc>
          <w:tcPr>
            <w:tcW w:type="dxa" w:w="2592"/>
          </w:tcPr>
          <w:p>
            <w:r>
              <w:t>44.565</w:t>
            </w:r>
          </w:p>
        </w:tc>
        <w:tc>
          <w:tcPr>
            <w:tcW w:type="dxa" w:w="2592"/>
          </w:tcPr>
          <w:p>
            <w:r>
              <w:t>23.510</w:t>
            </w:r>
          </w:p>
        </w:tc>
        <w:tc>
          <w:tcPr>
            <w:tcW w:type="dxa" w:w="2592"/>
          </w:tcPr>
          <w:p>
            <w:r>
              <w:t>33.638</w:t>
            </w:r>
          </w:p>
        </w:tc>
      </w:tr>
      <w:tr>
        <w:tc>
          <w:tcPr>
            <w:tcW w:type="dxa" w:w="2592"/>
          </w:tcPr>
          <w:p>
            <w:r>
              <w:t>高通颤振峰峰值 / V</w:t>
            </w:r>
          </w:p>
        </w:tc>
        <w:tc>
          <w:tcPr>
            <w:tcW w:type="dxa" w:w="2592"/>
          </w:tcPr>
          <w:p>
            <w:r>
              <w:t>0.76947</w:t>
            </w:r>
          </w:p>
        </w:tc>
        <w:tc>
          <w:tcPr>
            <w:tcW w:type="dxa" w:w="2592"/>
          </w:tcPr>
          <w:p>
            <w:r>
              <w:t>2.25782</w:t>
            </w:r>
          </w:p>
        </w:tc>
        <w:tc>
          <w:tcPr>
            <w:tcW w:type="dxa" w:w="2592"/>
          </w:tcPr>
          <w:p>
            <w:r>
              <w:t>0.49178</w:t>
            </w:r>
          </w:p>
        </w:tc>
      </w:tr>
      <w:tr>
        <w:tc>
          <w:tcPr>
            <w:tcW w:type="dxa" w:w="2592"/>
          </w:tcPr>
          <w:p>
            <w:r>
              <w:t>高通颤振 RMS / V</w:t>
            </w:r>
          </w:p>
        </w:tc>
        <w:tc>
          <w:tcPr>
            <w:tcW w:type="dxa" w:w="2592"/>
          </w:tcPr>
          <w:p>
            <w:r>
              <w:t>0.04205</w:t>
            </w:r>
          </w:p>
        </w:tc>
        <w:tc>
          <w:tcPr>
            <w:tcW w:type="dxa" w:w="2592"/>
          </w:tcPr>
          <w:p>
            <w:r>
              <w:t>0.12702</w:t>
            </w:r>
          </w:p>
        </w:tc>
        <w:tc>
          <w:tcPr>
            <w:tcW w:type="dxa" w:w="2592"/>
          </w:tcPr>
          <w:p>
            <w:r>
              <w:t>0.03058</w:t>
            </w:r>
          </w:p>
        </w:tc>
      </w:tr>
      <w:tr>
        <w:tc>
          <w:tcPr>
            <w:tcW w:type="dxa" w:w="2592"/>
          </w:tcPr>
          <w:p>
            <w:r>
              <w:t>窗口最大采样电压跳变 / V</w:t>
            </w:r>
          </w:p>
        </w:tc>
        <w:tc>
          <w:tcPr>
            <w:tcW w:type="dxa" w:w="2592"/>
          </w:tcPr>
          <w:p>
            <w:r>
              <w:t>0.81131</w:t>
            </w:r>
          </w:p>
        </w:tc>
        <w:tc>
          <w:tcPr>
            <w:tcW w:type="dxa" w:w="2592"/>
          </w:tcPr>
          <w:p>
            <w:r>
              <w:t>1.23166</w:t>
            </w:r>
          </w:p>
        </w:tc>
        <w:tc>
          <w:tcPr>
            <w:tcW w:type="dxa" w:w="2592"/>
          </w:tcPr>
          <w:p>
            <w:r>
              <w:t>0.10962</w:t>
            </w:r>
          </w:p>
        </w:tc>
      </w:tr>
      <w:tr>
        <w:tc>
          <w:tcPr>
            <w:tcW w:type="dxa" w:w="2592"/>
          </w:tcPr>
          <w:p>
            <w:r>
              <w:t>窗口 u_lin 符号翻转次数</w:t>
            </w:r>
          </w:p>
        </w:tc>
        <w:tc>
          <w:tcPr>
            <w:tcW w:type="dxa" w:w="2592"/>
          </w:tcPr>
          <w:p>
            <w:r>
              <w:t>1</w:t>
            </w:r>
          </w:p>
        </w:tc>
        <w:tc>
          <w:tcPr>
            <w:tcW w:type="dxa" w:w="2592"/>
          </w:tcPr>
          <w:p>
            <w:r>
              <w:t>17</w:t>
            </w:r>
          </w:p>
        </w:tc>
        <w:tc>
          <w:tcPr>
            <w:tcW w:type="dxa" w:w="2592"/>
          </w:tcPr>
          <w:p>
            <w:r>
              <w:t>1</w:t>
            </w:r>
          </w:p>
        </w:tc>
      </w:tr>
      <w:tr>
        <w:tc>
          <w:tcPr>
            <w:tcW w:type="dxa" w:w="2592"/>
          </w:tcPr>
          <w:p>
            <w:r>
              <w:t>窗口真实速度转折次数</w:t>
            </w:r>
          </w:p>
        </w:tc>
        <w:tc>
          <w:tcPr>
            <w:tcW w:type="dxa" w:w="2592"/>
          </w:tcPr>
          <w:p>
            <w:r>
              <w:t>0</w:t>
            </w:r>
          </w:p>
        </w:tc>
        <w:tc>
          <w:tcPr>
            <w:tcW w:type="dxa" w:w="2592"/>
          </w:tcPr>
          <w:p>
            <w:r>
              <w:t>14</w:t>
            </w:r>
          </w:p>
        </w:tc>
        <w:tc>
          <w:tcPr>
            <w:tcW w:type="dxa" w:w="2592"/>
          </w:tcPr>
          <w:p>
            <w:r>
              <w:t>0</w:t>
            </w:r>
          </w:p>
        </w:tc>
      </w:tr>
      <w:tr>
        <w:tc>
          <w:tcPr>
            <w:tcW w:type="dxa" w:w="2592"/>
          </w:tcPr>
          <w:p>
            <w:r>
              <w:t>窗口速度超额总变差 / mm/s</w:t>
            </w:r>
          </w:p>
        </w:tc>
        <w:tc>
          <w:tcPr>
            <w:tcW w:type="dxa" w:w="2592"/>
          </w:tcPr>
          <w:p>
            <w:r>
              <w:t>0.00000</w:t>
            </w:r>
          </w:p>
        </w:tc>
        <w:tc>
          <w:tcPr>
            <w:tcW w:type="dxa" w:w="2592"/>
          </w:tcPr>
          <w:p>
            <w:r>
              <w:t>0.64330</w:t>
            </w:r>
          </w:p>
        </w:tc>
        <w:tc>
          <w:tcPr>
            <w:tcW w:type="dxa" w:w="2592"/>
          </w:tcPr>
          <w:p>
            <w:r>
              <w:t>0.00000</w:t>
            </w:r>
          </w:p>
        </w:tc>
      </w:tr>
      <w:tr>
        <w:tc>
          <w:tcPr>
            <w:tcW w:type="dxa" w:w="2592"/>
          </w:tcPr>
          <w:p>
            <w:r>
              <w:t>全周期速度 RMSE / mm/s</w:t>
            </w:r>
          </w:p>
        </w:tc>
        <w:tc>
          <w:tcPr>
            <w:tcW w:type="dxa" w:w="2592"/>
          </w:tcPr>
          <w:p>
            <w:r>
              <w:t>0.19977</w:t>
            </w:r>
          </w:p>
        </w:tc>
        <w:tc>
          <w:tcPr>
            <w:tcW w:type="dxa" w:w="2592"/>
          </w:tcPr>
          <w:p>
            <w:r>
              <w:t>0.19919</w:t>
            </w:r>
          </w:p>
        </w:tc>
        <w:tc>
          <w:tcPr>
            <w:tcW w:type="dxa" w:w="2592"/>
          </w:tcPr>
          <w:p>
            <w:r>
              <w:t>0.19805</w:t>
            </w:r>
          </w:p>
        </w:tc>
      </w:tr>
      <w:tr>
        <w:tc>
          <w:tcPr>
            <w:tcW w:type="dxa" w:w="2592"/>
          </w:tcPr>
          <w:p>
            <w:r>
              <w:t>窗口速度 RMSE / mm/s</w:t>
            </w:r>
          </w:p>
        </w:tc>
        <w:tc>
          <w:tcPr>
            <w:tcW w:type="dxa" w:w="2592"/>
          </w:tcPr>
          <w:p>
            <w:r>
              <w:t>0.19878</w:t>
            </w:r>
          </w:p>
        </w:tc>
        <w:tc>
          <w:tcPr>
            <w:tcW w:type="dxa" w:w="2592"/>
          </w:tcPr>
          <w:p>
            <w:r>
              <w:t>0.19489</w:t>
            </w:r>
          </w:p>
        </w:tc>
        <w:tc>
          <w:tcPr>
            <w:tcW w:type="dxa" w:w="2592"/>
          </w:tcPr>
          <w:p>
            <w:r>
              <w:t>0.18846</w:t>
            </w:r>
          </w:p>
        </w:tc>
      </w:tr>
      <w:tr>
        <w:tc>
          <w:tcPr>
            <w:tcW w:type="dxa" w:w="2592"/>
          </w:tcPr>
          <w:p>
            <w:r>
              <w:t>全周期最大 |u| / V</w:t>
            </w:r>
          </w:p>
        </w:tc>
        <w:tc>
          <w:tcPr>
            <w:tcW w:type="dxa" w:w="2592"/>
          </w:tcPr>
          <w:p>
            <w:r>
              <w:t>5.4801</w:t>
            </w:r>
          </w:p>
        </w:tc>
        <w:tc>
          <w:tcPr>
            <w:tcW w:type="dxa" w:w="2592"/>
          </w:tcPr>
          <w:p>
            <w:r>
              <w:t>5.5201</w:t>
            </w:r>
          </w:p>
        </w:tc>
        <w:tc>
          <w:tcPr>
            <w:tcW w:type="dxa" w:w="2592"/>
          </w:tcPr>
          <w:p>
            <w:r>
              <w:t>5.5201</w:t>
            </w:r>
          </w:p>
        </w:tc>
      </w:tr>
      <w:tr>
        <w:tc>
          <w:tcPr>
            <w:tcW w:type="dxa" w:w="2592"/>
          </w:tcPr>
          <w:p>
            <w:r>
              <w:t>采样电压饱和点数</w:t>
            </w:r>
          </w:p>
        </w:tc>
        <w:tc>
          <w:tcPr>
            <w:tcW w:type="dxa" w:w="2592"/>
          </w:tcPr>
          <w:p>
            <w:r>
              <w:t>0</w:t>
            </w:r>
          </w:p>
        </w:tc>
        <w:tc>
          <w:tcPr>
            <w:tcW w:type="dxa" w:w="2592"/>
          </w:tcPr>
          <w:p>
            <w:r>
              <w:t>0</w:t>
            </w:r>
          </w:p>
        </w:tc>
        <w:tc>
          <w:tcPr>
            <w:tcW w:type="dxa" w:w="2592"/>
          </w:tcPr>
          <w:p>
            <w:r>
              <w:t>0</w:t>
            </w:r>
          </w:p>
        </w:tc>
      </w:tr>
    </w:tbl>
    <w:p>
      <w:r>
        <w:drawing>
          <wp:inline xmlns:a="http://schemas.openxmlformats.org/drawingml/2006/main" xmlns:pic="http://schemas.openxmlformats.org/drawingml/2006/picture">
            <wp:extent cx="6583680" cy="3890356"/>
            <wp:docPr id="1" name="Picture 1"/>
            <wp:cNvGraphicFramePr>
              <a:graphicFrameLocks noChangeAspect="1"/>
            </wp:cNvGraphicFramePr>
            <a:graphic>
              <a:graphicData uri="http://schemas.openxmlformats.org/drawingml/2006/picture">
                <pic:pic>
                  <pic:nvPicPr>
                    <pic:cNvPr id="0" name="deadzone_comparison.png"/>
                    <pic:cNvPicPr/>
                  </pic:nvPicPr>
                  <pic:blipFill>
                    <a:blip r:embed="rId9"/>
                    <a:stretch>
                      <a:fillRect/>
                    </a:stretch>
                  </pic:blipFill>
                  <pic:spPr>
                    <a:xfrm>
                      <a:off x="0" y="0"/>
                      <a:ext cx="6583680" cy="3890356"/>
                    </a:xfrm>
                    <a:prstGeom prst="rect"/>
                  </pic:spPr>
                </pic:pic>
              </a:graphicData>
            </a:graphic>
          </wp:inline>
        </w:drawing>
      </w:r>
    </w:p>
    <w:p>
      <w:r>
        <w:t>图 1　原始采样记录的控制电压、实际阀芯死区后有效信号及真实速度；左列全周期，右列换向窗口。</w:t>
      </w:r>
    </w:p>
    <w:p>
      <w:pPr>
        <w:pStyle w:val="Heading1"/>
      </w:pPr>
      <w:r>
        <w:t>4. β 扫描与残余平台</w:t>
      </w:r>
    </w:p>
    <w:tbl>
      <w:tblPr>
        <w:tblW w:type="auto" w:w="0"/>
        <w:tblLayout w:type="autofit"/>
        <w:tblLook w:firstColumn="1" w:firstRow="1" w:lastColumn="0" w:lastRow="0" w:noHBand="0" w:noVBand="1" w:val="04A0"/>
        <w:tblBorders>
          <w:top w:val="single" w:sz="8" w:color="555555"/>
          <w:bottom w:val="single" w:sz="8" w:color="555555"/>
          <w:left w:val="nil" w:sz="8" w:color="555555"/>
          <w:right w:val="nil" w:sz="8" w:color="555555"/>
          <w:insideH w:val="nil" w:sz="8" w:color="555555"/>
          <w:insideV w:val="nil" w:sz="8" w:color="555555"/>
        </w:tblBorders>
      </w:tblPr>
      <w:tblGrid>
        <w:gridCol w:w="1728"/>
        <w:gridCol w:w="1728"/>
        <w:gridCol w:w="1728"/>
        <w:gridCol w:w="1728"/>
        <w:gridCol w:w="1728"/>
        <w:gridCol w:w="1728"/>
      </w:tblGrid>
      <w:tr>
        <w:tc>
          <w:tcPr>
            <w:tcW w:type="dxa" w:w="1728"/>
            <w:tcBorders>
              <w:bottom w:val="single" w:sz="6"/>
            </w:tcBorders>
          </w:tcPr>
          <w:p>
            <w:r>
              <w:rPr>
                <w:b/>
              </w:rPr>
              <w:t>β / V⁻¹</w:t>
            </w:r>
          </w:p>
        </w:tc>
        <w:tc>
          <w:tcPr>
            <w:tcW w:type="dxa" w:w="1728"/>
            <w:tcBorders>
              <w:bottom w:val="single" w:sz="6"/>
            </w:tcBorders>
          </w:tcPr>
          <w:p>
            <w:r>
              <w:rPr>
                <w:b/>
              </w:rPr>
              <w:t>最长关闭</w:t>
              <w:br/>
              <w:t>/ms</w:t>
            </w:r>
          </w:p>
        </w:tc>
        <w:tc>
          <w:tcPr>
            <w:tcW w:type="dxa" w:w="1728"/>
            <w:tcBorders>
              <w:bottom w:val="single" w:sz="6"/>
            </w:tcBorders>
          </w:tcPr>
          <w:p>
            <w:r>
              <w:rPr>
                <w:b/>
              </w:rPr>
              <w:t>颤振峰峰值</w:t>
              <w:br/>
              <w:t>/V</w:t>
            </w:r>
          </w:p>
        </w:tc>
        <w:tc>
          <w:tcPr>
            <w:tcW w:type="dxa" w:w="1728"/>
            <w:tcBorders>
              <w:bottom w:val="single" w:sz="6"/>
            </w:tcBorders>
          </w:tcPr>
          <w:p>
            <w:r>
              <w:rPr>
                <w:b/>
              </w:rPr>
              <w:t>全程 RMSE</w:t>
              <w:br/>
              <w:t>/mm/s</w:t>
            </w:r>
          </w:p>
        </w:tc>
        <w:tc>
          <w:tcPr>
            <w:tcW w:type="dxa" w:w="1728"/>
            <w:tcBorders>
              <w:bottom w:val="single" w:sz="6"/>
            </w:tcBorders>
          </w:tcPr>
          <w:p>
            <w:r>
              <w:rPr>
                <w:b/>
              </w:rPr>
              <w:t>局部 RMSE</w:t>
              <w:br/>
              <w:t>/mm/s</w:t>
            </w:r>
          </w:p>
        </w:tc>
        <w:tc>
          <w:tcPr>
            <w:tcW w:type="dxa" w:w="1728"/>
            <w:tcBorders>
              <w:bottom w:val="single" w:sz="6"/>
            </w:tcBorders>
          </w:tcPr>
          <w:p>
            <w:r>
              <w:rPr>
                <w:b/>
              </w:rPr>
              <w:t>符号翻转</w:t>
              <w:br/>
              <w:t>/次</w:t>
            </w:r>
          </w:p>
        </w:tc>
      </w:tr>
      <w:tr>
        <w:tc>
          <w:tcPr>
            <w:tcW w:type="dxa" w:w="1728"/>
          </w:tcPr>
          <w:p>
            <w:r>
              <w:t>5</w:t>
            </w:r>
          </w:p>
        </w:tc>
        <w:tc>
          <w:tcPr>
            <w:tcW w:type="dxa" w:w="1728"/>
          </w:tcPr>
          <w:p>
            <w:r>
              <w:t>28.865</w:t>
            </w:r>
          </w:p>
        </w:tc>
        <w:tc>
          <w:tcPr>
            <w:tcW w:type="dxa" w:w="1728"/>
          </w:tcPr>
          <w:p>
            <w:r>
              <w:t>0.21350</w:t>
            </w:r>
          </w:p>
        </w:tc>
        <w:tc>
          <w:tcPr>
            <w:tcW w:type="dxa" w:w="1728"/>
          </w:tcPr>
          <w:p>
            <w:r>
              <w:t>0.19597</w:t>
            </w:r>
          </w:p>
        </w:tc>
        <w:tc>
          <w:tcPr>
            <w:tcW w:type="dxa" w:w="1728"/>
          </w:tcPr>
          <w:p>
            <w:r>
              <w:t>0.17612</w:t>
            </w:r>
          </w:p>
        </w:tc>
        <w:tc>
          <w:tcPr>
            <w:tcW w:type="dxa" w:w="1728"/>
          </w:tcPr>
          <w:p>
            <w:r>
              <w:t>1</w:t>
            </w:r>
          </w:p>
        </w:tc>
      </w:tr>
      <w:tr>
        <w:tc>
          <w:tcPr>
            <w:tcW w:type="dxa" w:w="1728"/>
          </w:tcPr>
          <w:p>
            <w:r>
              <w:t>18</w:t>
            </w:r>
          </w:p>
        </w:tc>
        <w:tc>
          <w:tcPr>
            <w:tcW w:type="dxa" w:w="1728"/>
          </w:tcPr>
          <w:p>
            <w:r>
              <w:t>16.309</w:t>
            </w:r>
          </w:p>
        </w:tc>
        <w:tc>
          <w:tcPr>
            <w:tcW w:type="dxa" w:w="1728"/>
          </w:tcPr>
          <w:p>
            <w:r>
              <w:t>0.49178</w:t>
            </w:r>
          </w:p>
        </w:tc>
        <w:tc>
          <w:tcPr>
            <w:tcW w:type="dxa" w:w="1728"/>
          </w:tcPr>
          <w:p>
            <w:r>
              <w:t>0.19805</w:t>
            </w:r>
          </w:p>
        </w:tc>
        <w:tc>
          <w:tcPr>
            <w:tcW w:type="dxa" w:w="1728"/>
          </w:tcPr>
          <w:p>
            <w:r>
              <w:t>0.18846</w:t>
            </w:r>
          </w:p>
        </w:tc>
        <w:tc>
          <w:tcPr>
            <w:tcW w:type="dxa" w:w="1728"/>
          </w:tcPr>
          <w:p>
            <w:r>
              <w:t>1</w:t>
            </w:r>
          </w:p>
        </w:tc>
      </w:tr>
      <w:tr>
        <w:tc>
          <w:tcPr>
            <w:tcW w:type="dxa" w:w="1728"/>
          </w:tcPr>
          <w:p>
            <w:r>
              <w:t>50</w:t>
            </w:r>
          </w:p>
        </w:tc>
        <w:tc>
          <w:tcPr>
            <w:tcW w:type="dxa" w:w="1728"/>
          </w:tcPr>
          <w:p>
            <w:r>
              <w:t>10.372</w:t>
            </w:r>
          </w:p>
        </w:tc>
        <w:tc>
          <w:tcPr>
            <w:tcW w:type="dxa" w:w="1728"/>
          </w:tcPr>
          <w:p>
            <w:r>
              <w:t>0.68603</w:t>
            </w:r>
          </w:p>
        </w:tc>
        <w:tc>
          <w:tcPr>
            <w:tcW w:type="dxa" w:w="1728"/>
          </w:tcPr>
          <w:p>
            <w:r>
              <w:t>0.19888</w:t>
            </w:r>
          </w:p>
        </w:tc>
        <w:tc>
          <w:tcPr>
            <w:tcW w:type="dxa" w:w="1728"/>
          </w:tcPr>
          <w:p>
            <w:r>
              <w:t>0.19329</w:t>
            </w:r>
          </w:p>
        </w:tc>
        <w:tc>
          <w:tcPr>
            <w:tcW w:type="dxa" w:w="1728"/>
          </w:tcPr>
          <w:p>
            <w:r>
              <w:t>1</w:t>
            </w:r>
          </w:p>
        </w:tc>
      </w:tr>
    </w:tbl>
    <w:p>
      <w:r>
        <w:t>无动态、无反馈的欠补偿静态平台参照为 63.666 ms。下表把有限 β 的静态正阈值与闭环实测平台分开列示；静态平台由参考正弦穿越 ±z0 的时长推得，不等于反馈、前馈相位与阀动态共同作用后的平台。</w:t>
      </w:r>
    </w:p>
    <w:tbl>
      <w:tblPr>
        <w:tblW w:type="auto" w:w="0"/>
        <w:tblLayout w:type="autofit"/>
        <w:tblLook w:firstColumn="1" w:firstRow="1" w:lastColumn="0" w:lastRow="0" w:noHBand="0" w:noVBand="1" w:val="04A0"/>
        <w:tblBorders>
          <w:top w:val="single" w:sz="8" w:color="555555"/>
          <w:bottom w:val="single" w:sz="8" w:color="555555"/>
          <w:left w:val="nil" w:sz="8" w:color="555555"/>
          <w:right w:val="nil" w:sz="8" w:color="555555"/>
          <w:insideH w:val="nil" w:sz="8" w:color="555555"/>
          <w:insideV w:val="nil" w:sz="8" w:color="555555"/>
        </w:tblBorders>
      </w:tblPr>
      <w:tblGrid>
        <w:gridCol w:w="2592"/>
        <w:gridCol w:w="2592"/>
        <w:gridCol w:w="2592"/>
        <w:gridCol w:w="2592"/>
      </w:tblGrid>
      <w:tr>
        <w:tc>
          <w:tcPr>
            <w:tcW w:type="dxa" w:w="2592"/>
            <w:tcBorders>
              <w:bottom w:val="single" w:sz="6"/>
            </w:tcBorders>
          </w:tcPr>
          <w:p>
            <w:r>
              <w:rPr>
                <w:b/>
              </w:rPr>
              <w:t>β / V⁻¹</w:t>
            </w:r>
          </w:p>
        </w:tc>
        <w:tc>
          <w:tcPr>
            <w:tcW w:type="dxa" w:w="2592"/>
            <w:tcBorders>
              <w:bottom w:val="single" w:sz="6"/>
            </w:tcBorders>
          </w:tcPr>
          <w:p>
            <w:r>
              <w:rPr>
                <w:b/>
              </w:rPr>
              <w:t>静态阈值 z0 / V</w:t>
            </w:r>
          </w:p>
        </w:tc>
        <w:tc>
          <w:tcPr>
            <w:tcW w:type="dxa" w:w="2592"/>
            <w:tcBorders>
              <w:bottom w:val="single" w:sz="6"/>
            </w:tcBorders>
          </w:tcPr>
          <w:p>
            <w:r>
              <w:rPr>
                <w:b/>
              </w:rPr>
              <w:t>静态平台 / ms</w:t>
            </w:r>
          </w:p>
        </w:tc>
        <w:tc>
          <w:tcPr>
            <w:tcW w:type="dxa" w:w="2592"/>
            <w:tcBorders>
              <w:bottom w:val="single" w:sz="6"/>
            </w:tcBorders>
          </w:tcPr>
          <w:p>
            <w:r>
              <w:rPr>
                <w:b/>
              </w:rPr>
              <w:t>逆映射零点斜率</w:t>
            </w:r>
          </w:p>
        </w:tc>
      </w:tr>
      <w:tr>
        <w:tc>
          <w:tcPr>
            <w:tcW w:type="dxa" w:w="2592"/>
          </w:tcPr>
          <w:p>
            <w:r>
              <w:t>5</w:t>
            </w:r>
          </w:p>
        </w:tc>
        <w:tc>
          <w:tcPr>
            <w:tcW w:type="dxa" w:w="2592"/>
          </w:tcPr>
          <w:p>
            <w:r>
              <w:t>0.139099</w:t>
            </w:r>
          </w:p>
        </w:tc>
        <w:tc>
          <w:tcPr>
            <w:tcW w:type="dxa" w:w="2592"/>
          </w:tcPr>
          <w:p>
            <w:r>
              <w:t>88.565</w:t>
            </w:r>
          </w:p>
        </w:tc>
        <w:tc>
          <w:tcPr>
            <w:tcW w:type="dxa" w:w="2592"/>
          </w:tcPr>
          <w:p>
            <w:r>
              <w:t>4.000</w:t>
            </w:r>
          </w:p>
        </w:tc>
      </w:tr>
      <w:tr>
        <w:tc>
          <w:tcPr>
            <w:tcW w:type="dxa" w:w="2592"/>
          </w:tcPr>
          <w:p>
            <w:r>
              <w:t>18</w:t>
            </w:r>
          </w:p>
        </w:tc>
        <w:tc>
          <w:tcPr>
            <w:tcW w:type="dxa" w:w="2592"/>
          </w:tcPr>
          <w:p>
            <w:r>
              <w:t>0.053351</w:t>
            </w:r>
          </w:p>
        </w:tc>
        <w:tc>
          <w:tcPr>
            <w:tcW w:type="dxa" w:w="2592"/>
          </w:tcPr>
          <w:p>
            <w:r>
              <w:t>33.965</w:t>
            </w:r>
          </w:p>
        </w:tc>
        <w:tc>
          <w:tcPr>
            <w:tcW w:type="dxa" w:w="2592"/>
          </w:tcPr>
          <w:p>
            <w:r>
              <w:t>11.800</w:t>
            </w:r>
          </w:p>
        </w:tc>
      </w:tr>
      <w:tr>
        <w:tc>
          <w:tcPr>
            <w:tcW w:type="dxa" w:w="2592"/>
          </w:tcPr>
          <w:p>
            <w:r>
              <w:t>50</w:t>
            </w:r>
          </w:p>
        </w:tc>
        <w:tc>
          <w:tcPr>
            <w:tcW w:type="dxa" w:w="2592"/>
          </w:tcPr>
          <w:p>
            <w:r>
              <w:t>0.021806</w:t>
            </w:r>
          </w:p>
        </w:tc>
        <w:tc>
          <w:tcPr>
            <w:tcW w:type="dxa" w:w="2592"/>
          </w:tcPr>
          <w:p>
            <w:r>
              <w:t>13.882</w:t>
            </w:r>
          </w:p>
        </w:tc>
        <w:tc>
          <w:tcPr>
            <w:tcW w:type="dxa" w:w="2592"/>
          </w:tcPr>
          <w:p>
            <w:r>
              <w:t>31.000</w:t>
            </w:r>
          </w:p>
        </w:tc>
      </w:tr>
    </w:tbl>
    <w:p>
      <w:r>
        <w:t>本次离散扫描：全周期 RMSE最小对应 β=5；最长关闭平台最小对应 β=50；颤振峰峰值最小对应 β=5。这些仅是已计算候选点上的单项比较，不是全局最优或所有采样条件下的保证。符号频繁翻转可证明本次换向抖动，不能单凭该计数宣称状态发散。</w:t>
      </w:r>
    </w:p>
    <w:p>
      <w:r>
        <w:t>本次所扫 β 在换向窗口内的速度转折数均为 0；不能把较大 β 的高通峰峰值增加单独写成已发生持续机械极限环或状态发散。这是指定采样、反馈和模型下的数值实验，不对任意硬过补偿作 Lyapunov 稳定性断言。</w:t>
      </w:r>
    </w:p>
    <w:p>
      <w:pPr>
        <w:pStyle w:val="Heading1"/>
      </w:pPr>
      <w:r>
        <w:t>5. 验证、局限与复现</w:t>
      </w:r>
    </w:p>
    <w:p>
      <w:r>
        <w:t>验证状态：全部通过。实际检查条件、误差及测试记录见 outputs/validation.json。</w:t>
      </w:r>
    </w:p>
    <w:p>
      <w:r>
        <w:t>记录的回归测试数量：10。</w:t>
      </w:r>
    </w:p>
    <w:p>
      <w:r>
        <w:t>验证文件含 43 项具名检查，未执行项不视为通过。</w:t>
      </w:r>
    </w:p>
    <w:p>
      <w:pPr>
        <w:pStyle w:val="Heading2"/>
      </w:pPr>
      <w:r>
        <w:t>补充：测量噪声与零参考保持</w:t>
      </w:r>
    </w:p>
    <w:p>
      <w:r>
        <w:t>补充噪声试验采用标准差 0.020 mm/s、seed=63018 的共同加性测量噪声；重建噪声序列一致性检查：通过。这些结果独立保存，未改变无噪声主图或平滑实际速度。</w:t>
      </w:r>
    </w:p>
    <w:tbl>
      <w:tblPr>
        <w:tblW w:type="auto" w:w="0"/>
        <w:tblLayout w:type="autofit"/>
        <w:tblLook w:firstColumn="1" w:firstRow="1" w:lastColumn="0" w:lastRow="0" w:noHBand="0" w:noVBand="1" w:val="04A0"/>
        <w:tblBorders>
          <w:top w:val="single" w:sz="8" w:color="555555"/>
          <w:bottom w:val="single" w:sz="8" w:color="555555"/>
          <w:left w:val="nil" w:sz="8" w:color="555555"/>
          <w:right w:val="nil" w:sz="8" w:color="555555"/>
          <w:insideH w:val="nil" w:sz="8" w:color="555555"/>
          <w:insideV w:val="nil" w:sz="8" w:color="555555"/>
        </w:tblBorders>
      </w:tblPr>
      <w:tblGrid>
        <w:gridCol w:w="2592"/>
        <w:gridCol w:w="2592"/>
        <w:gridCol w:w="2592"/>
        <w:gridCol w:w="2592"/>
      </w:tblGrid>
      <w:tr>
        <w:tc>
          <w:tcPr>
            <w:tcW w:type="dxa" w:w="2592"/>
            <w:tcBorders>
              <w:bottom w:val="single" w:sz="6"/>
            </w:tcBorders>
          </w:tcPr>
          <w:p>
            <w:r>
              <w:rPr>
                <w:b/>
              </w:rPr>
              <w:t>β / V⁻¹</w:t>
            </w:r>
          </w:p>
        </w:tc>
        <w:tc>
          <w:tcPr>
            <w:tcW w:type="dxa" w:w="2592"/>
            <w:tcBorders>
              <w:bottom w:val="single" w:sz="6"/>
            </w:tcBorders>
          </w:tcPr>
          <w:p>
            <w:r>
              <w:rPr>
                <w:b/>
              </w:rPr>
              <w:t>最长关闭 / ms</w:t>
            </w:r>
          </w:p>
        </w:tc>
        <w:tc>
          <w:tcPr>
            <w:tcW w:type="dxa" w:w="2592"/>
            <w:tcBorders>
              <w:bottom w:val="single" w:sz="6"/>
            </w:tcBorders>
          </w:tcPr>
          <w:p>
            <w:r>
              <w:rPr>
                <w:b/>
              </w:rPr>
              <w:t>高通峰峰值 / V</w:t>
            </w:r>
          </w:p>
        </w:tc>
        <w:tc>
          <w:tcPr>
            <w:tcW w:type="dxa" w:w="2592"/>
            <w:tcBorders>
              <w:bottom w:val="single" w:sz="6"/>
            </w:tcBorders>
          </w:tcPr>
          <w:p>
            <w:r>
              <w:rPr>
                <w:b/>
              </w:rPr>
              <w:t>全程 RMSE / mm/s</w:t>
            </w:r>
          </w:p>
        </w:tc>
      </w:tr>
      <w:tr>
        <w:tc>
          <w:tcPr>
            <w:tcW w:type="dxa" w:w="2592"/>
          </w:tcPr>
          <w:p>
            <w:r>
              <w:t>5</w:t>
            </w:r>
          </w:p>
        </w:tc>
        <w:tc>
          <w:tcPr>
            <w:tcW w:type="dxa" w:w="2592"/>
          </w:tcPr>
          <w:p>
            <w:r>
              <w:t>25.527</w:t>
            </w:r>
          </w:p>
        </w:tc>
        <w:tc>
          <w:tcPr>
            <w:tcW w:type="dxa" w:w="2592"/>
          </w:tcPr>
          <w:p>
            <w:r>
              <w:t>0.25885</w:t>
            </w:r>
          </w:p>
        </w:tc>
        <w:tc>
          <w:tcPr>
            <w:tcW w:type="dxa" w:w="2592"/>
          </w:tcPr>
          <w:p>
            <w:r>
              <w:t>0.19610</w:t>
            </w:r>
          </w:p>
        </w:tc>
      </w:tr>
      <w:tr>
        <w:tc>
          <w:tcPr>
            <w:tcW w:type="dxa" w:w="2592"/>
          </w:tcPr>
          <w:p>
            <w:r>
              <w:t>18</w:t>
            </w:r>
          </w:p>
        </w:tc>
        <w:tc>
          <w:tcPr>
            <w:tcW w:type="dxa" w:w="2592"/>
          </w:tcPr>
          <w:p>
            <w:r>
              <w:t>17.547</w:t>
            </w:r>
          </w:p>
        </w:tc>
        <w:tc>
          <w:tcPr>
            <w:tcW w:type="dxa" w:w="2592"/>
          </w:tcPr>
          <w:p>
            <w:r>
              <w:t>0.50730</w:t>
            </w:r>
          </w:p>
        </w:tc>
        <w:tc>
          <w:tcPr>
            <w:tcW w:type="dxa" w:w="2592"/>
          </w:tcPr>
          <w:p>
            <w:r>
              <w:t>0.19820</w:t>
            </w:r>
          </w:p>
        </w:tc>
      </w:tr>
      <w:tr>
        <w:tc>
          <w:tcPr>
            <w:tcW w:type="dxa" w:w="2592"/>
          </w:tcPr>
          <w:p>
            <w:r>
              <w:t>50</w:t>
            </w:r>
          </w:p>
        </w:tc>
        <w:tc>
          <w:tcPr>
            <w:tcW w:type="dxa" w:w="2592"/>
          </w:tcPr>
          <w:p>
            <w:r>
              <w:t>9.114</w:t>
            </w:r>
          </w:p>
        </w:tc>
        <w:tc>
          <w:tcPr>
            <w:tcW w:type="dxa" w:w="2592"/>
          </w:tcPr>
          <w:p>
            <w:r>
              <w:t>0.81302</w:t>
            </w:r>
          </w:p>
        </w:tc>
        <w:tc>
          <w:tcPr>
            <w:tcW w:type="dxa" w:w="2592"/>
          </w:tcPr>
          <w:p>
            <w:r>
              <w:t>0.19902</w:t>
            </w:r>
          </w:p>
        </w:tc>
      </w:tr>
    </w:tbl>
    <w:p>
      <w:r>
        <w:t>保持试验从各策略正式轨迹 5.0 s 的实际阀位与速度继续，保持零速度参考 0.4 s，统计末 100 ms。控制器历史由正式测量重建，不添加速度种子或测量噪声。同一策略的反事实沿用相同真实起点，关闭误差反馈，检验反复翻转是否由反馈维持。</w:t>
      </w:r>
    </w:p>
    <w:tbl>
      <w:tblPr>
        <w:tblW w:type="auto" w:w="0"/>
        <w:tblLayout w:type="autofit"/>
        <w:tblLook w:firstColumn="1" w:firstRow="1" w:lastColumn="0" w:lastRow="0" w:noHBand="0" w:noVBand="1" w:val="04A0"/>
        <w:tblBorders>
          <w:top w:val="single" w:sz="8" w:color="555555"/>
          <w:bottom w:val="single" w:sz="8" w:color="555555"/>
          <w:left w:val="nil" w:sz="8" w:color="555555"/>
          <w:right w:val="nil" w:sz="8" w:color="555555"/>
          <w:insideH w:val="nil" w:sz="8" w:color="555555"/>
          <w:insideV w:val="nil" w:sz="8" w:color="555555"/>
        </w:tblBorders>
      </w:tblPr>
      <w:tblGrid>
        <w:gridCol w:w="2074"/>
        <w:gridCol w:w="2074"/>
        <w:gridCol w:w="2074"/>
        <w:gridCol w:w="2074"/>
        <w:gridCol w:w="2074"/>
      </w:tblGrid>
      <w:tr>
        <w:tc>
          <w:tcPr>
            <w:tcW w:type="dxa" w:w="2074"/>
            <w:tcBorders>
              <w:bottom w:val="single" w:sz="6"/>
            </w:tcBorders>
          </w:tcPr>
          <w:p>
            <w:r>
              <w:rPr>
                <w:b/>
              </w:rPr>
              <w:t>策略</w:t>
            </w:r>
          </w:p>
        </w:tc>
        <w:tc>
          <w:tcPr>
            <w:tcW w:type="dxa" w:w="2074"/>
            <w:tcBorders>
              <w:bottom w:val="single" w:sz="6"/>
            </w:tcBorders>
          </w:tcPr>
          <w:p>
            <w:r>
              <w:rPr>
                <w:b/>
              </w:rPr>
              <w:t>原反馈速度</w:t>
              <w:br/>
              <w:t>峰峰值 mm/s</w:t>
            </w:r>
          </w:p>
        </w:tc>
        <w:tc>
          <w:tcPr>
            <w:tcW w:type="dxa" w:w="2074"/>
            <w:tcBorders>
              <w:bottom w:val="single" w:sz="6"/>
            </w:tcBorders>
          </w:tcPr>
          <w:p>
            <w:r>
              <w:rPr>
                <w:b/>
              </w:rPr>
              <w:t>原反馈电压</w:t>
              <w:br/>
              <w:t>峰峰值 V</w:t>
            </w:r>
          </w:p>
        </w:tc>
        <w:tc>
          <w:tcPr>
            <w:tcW w:type="dxa" w:w="2074"/>
            <w:tcBorders>
              <w:bottom w:val="single" w:sz="6"/>
            </w:tcBorders>
          </w:tcPr>
          <w:p>
            <w:r>
              <w:rPr>
                <w:b/>
              </w:rPr>
              <w:t>关闭误差反馈速度</w:t>
              <w:br/>
              <w:t>峰峰值 mm/s</w:t>
            </w:r>
          </w:p>
        </w:tc>
        <w:tc>
          <w:tcPr>
            <w:tcW w:type="dxa" w:w="2074"/>
            <w:tcBorders>
              <w:bottom w:val="single" w:sz="6"/>
            </w:tcBorders>
          </w:tcPr>
          <w:p>
            <w:r>
              <w:rPr>
                <w:b/>
              </w:rPr>
              <w:t>有效估计频率</w:t>
              <w:br/>
              <w:t>/ Hz</w:t>
            </w:r>
          </w:p>
        </w:tc>
      </w:tr>
      <w:tr>
        <w:tc>
          <w:tcPr>
            <w:tcW w:type="dxa" w:w="2074"/>
          </w:tcPr>
          <w:p>
            <w:r>
              <w:t>A 欠补偿</w:t>
            </w:r>
          </w:p>
        </w:tc>
        <w:tc>
          <w:tcPr>
            <w:tcW w:type="dxa" w:w="2074"/>
          </w:tcPr>
          <w:p>
            <w:r>
              <w:t>1.158e-12</w:t>
            </w:r>
          </w:p>
        </w:tc>
        <w:tc>
          <w:tcPr>
            <w:tcW w:type="dxa" w:w="2074"/>
          </w:tcPr>
          <w:p>
            <w:r>
              <w:t>0.000000</w:t>
            </w:r>
          </w:p>
        </w:tc>
        <w:tc>
          <w:tcPr>
            <w:tcW w:type="dxa" w:w="2074"/>
          </w:tcPr>
          <w:p>
            <w:r>
              <w:t>1.158e-12</w:t>
            </w:r>
          </w:p>
        </w:tc>
        <w:tc>
          <w:tcPr>
            <w:tcW w:type="dxa" w:w="2074"/>
          </w:tcPr>
          <w:p>
            <w:r>
              <w:t>不报告</w:t>
            </w:r>
          </w:p>
        </w:tc>
      </w:tr>
      <w:tr>
        <w:tc>
          <w:tcPr>
            <w:tcW w:type="dxa" w:w="2074"/>
          </w:tcPr>
          <w:p>
            <w:r>
              <w:t>B 硬过补偿</w:t>
            </w:r>
          </w:p>
        </w:tc>
        <w:tc>
          <w:tcPr>
            <w:tcW w:type="dxa" w:w="2074"/>
          </w:tcPr>
          <w:p>
            <w:r>
              <w:t>0.047071</w:t>
            </w:r>
          </w:p>
        </w:tc>
        <w:tc>
          <w:tcPr>
            <w:tcW w:type="dxa" w:w="2074"/>
          </w:tcPr>
          <w:p>
            <w:r>
              <w:t>1.218828</w:t>
            </w:r>
          </w:p>
        </w:tc>
        <w:tc>
          <w:tcPr>
            <w:tcW w:type="dxa" w:w="2074"/>
          </w:tcPr>
          <w:p>
            <w:r>
              <w:t>8.404e-15</w:t>
            </w:r>
          </w:p>
        </w:tc>
        <w:tc>
          <w:tcPr>
            <w:tcW w:type="dxa" w:w="2074"/>
          </w:tcPr>
          <w:p>
            <w:r>
              <w:t>166.67</w:t>
            </w:r>
          </w:p>
        </w:tc>
      </w:tr>
      <w:tr>
        <w:tc>
          <w:tcPr>
            <w:tcW w:type="dxa" w:w="2074"/>
          </w:tcPr>
          <w:p>
            <w:r>
              <w:t>C tanh 光滑补偿</w:t>
            </w:r>
          </w:p>
        </w:tc>
        <w:tc>
          <w:tcPr>
            <w:tcW w:type="dxa" w:w="2074"/>
          </w:tcPr>
          <w:p>
            <w:r>
              <w:t>1.112e-12</w:t>
            </w:r>
          </w:p>
        </w:tc>
        <w:tc>
          <w:tcPr>
            <w:tcW w:type="dxa" w:w="2074"/>
          </w:tcPr>
          <w:p>
            <w:r>
              <w:t>5.249e-12</w:t>
            </w:r>
          </w:p>
        </w:tc>
        <w:tc>
          <w:tcPr>
            <w:tcW w:type="dxa" w:w="2074"/>
          </w:tcPr>
          <w:p>
            <w:r>
              <w:t>1.160e-12</w:t>
            </w:r>
          </w:p>
        </w:tc>
        <w:tc>
          <w:tcPr>
            <w:tcW w:type="dxa" w:w="2074"/>
          </w:tcPr>
          <w:p>
            <w:r>
              <w:t>不报告</w:t>
            </w:r>
          </w:p>
        </w:tc>
      </w:tr>
    </w:tbl>
    <w:p>
      <w:r>
        <w:t>硬过补偿前一等长窗口速度峰峰值为 0.047071 mm/s，末段/前段幅值比为 1.0000。以相邻窗口幅值比较区分持续小幅运动与单次换向后逐渐衰减的振铃。</w:t>
      </w:r>
    </w:p>
    <w:p>
      <w:r>
        <w:t>硬过补偿末段记录速度过零 34 次、完整同向上穿周期 16 个。频率仅在速度幅度有诊断意义且至少存在两次同向上穿时估计；采用同向插值过零周期的中位数，而不是把单次脉冲频谱当振荡频率。该保持试验与无反馈反事实共同检验本采样等效模型的小幅极限环，不能推断任意液压对象的固有模态或全局稳定性。</w:t>
      </w:r>
    </w:p>
    <w:p>
      <w:r>
        <w:t>补充试验检查状态：全部通过；条件及原始记录见 outputs/robustness.json。</w:t>
      </w:r>
    </w:p>
    <w:p>
      <w:r>
        <w:t>本模型隔离研究死区和离散反馈，不包含双腔压力、真实摩擦、负载、压差流量增益变化或传感器全动态。不能据本次速度改善推断完整液压装置的稳定性或安全性。有限 β 保留残余平台，采样与增益也会改变颤振；参数不是设备辨识值。噪声若启用，各策略共用同一序列，默认设置及 seed 均随配置保存。</w:t>
      </w:r>
    </w:p>
    <w:p>
      <w:r>
        <w:t>解压后进入 homework6_3：python -m pip install -r requirements.txt；python work_6_3.py；python -m unittest -v；其他独立复核命令见 README.md；python package_delivery.py。CSV 保留 N+1 个采样时刻，状态记录在本周期指令施加前，电压在随后一个采样区间保持。包内包含全部源码、配置、材料、三策略与 β 扫描 CSV、summary、validation、唯一六面板图和报告。manifest.json 记录相对路径、字节数与 SHA256；ZIP 与 manifest 自身不参与循环哈希。</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SC" w:hAnsi="Noto Sans CJK SC" w:eastAsia="Noto Sans CJK S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SC" w:hAnsi="Noto Sans CJK SC" w:eastAsia="Noto Sans CJK S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SC" w:hAnsi="Noto Sans CJK SC" w:eastAsia="Noto Sans CJK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SC" w:hAnsi="Noto Sans CJK SC" w:eastAsia="Noto Sans CJK S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