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第七章：模型预测约束控制与滚动优化</w:t>
      </w:r>
    </w:p>
    <w:p>
      <w:r>
        <w:t>50 mm 极限定位：前馈 PID、输入约束 MPC 与输入及 P2 约束 MPC 三组课堂对比</w:t>
      </w:r>
    </w:p>
    <w:p>
      <w:pPr>
        <w:pStyle w:val="Heading1"/>
      </w:pPr>
      <w:r>
        <w:t>1. 实验条件与材料范围</w:t>
      </w:r>
    </w:p>
    <w:p>
      <w:r>
        <w:t>三策略使用共同真实液压对象、初始状态和参考指令。指令在 t=0.01 s 跃迁至 50 mm；Ts=1 ms，时长 0.15 s，预测时域 N=20。参数是公开的课堂仿真假设，未由设备测量数据辨识。实际参数以本包配置及 summary.json 为准。</w:t>
      </w:r>
    </w:p>
    <w:p>
      <w:r>
        <w:t>材料依据为 PPT 第 7.4 节三策略课堂实验。PPT 的超调和压力示意数值只用于趋势比较，未写入控制律或压力状态。课后习题 7-2 的 N=5/20/50 独立时域对比不在本次三策略实验范围内。原上传 Twin 保留，真实闭环扩展、预测模型及参数覆盖在独立文件中，文件 SHA256 见 manifest.json。</w:t>
      </w:r>
    </w:p>
    <w:p>
      <w:r>
        <w:t>本次控制配置：valve_tau=0.0025；makeup_area=0.002；rtol=1e-06；max_du_step=4.5；pressure_margin=0.5；mpc_outer_iterations=3；pid_kp=9.5；pid_ki=5.0；pid_kd=0.02；pid_alpha=0.85；ff_velocity=1.1；ff_accel_time=0.01。</w:t>
      </w:r>
    </w:p>
    <w:p>
      <w:r>
        <w:t>共同对象参数：行程 0.3 m；无杆腔死容积 100 cm³；有杆腔死容积 100 cm³；标称体积模量 1.8 GPa；最大阀开度 5 mm；质量 500 kg；静摩擦 800 N；动摩擦 500 N。</w:t>
      </w:r>
    </w:p>
    <w:p>
      <w:r>
        <w:t>共同初态（mm、m/s、MPa、MPa、V）：[0.0, 0.0, 1.05, 2.0, 0.0]。预充压力按净液压力机械平衡初始化；内泄漏仍存在，不宣称零流量恒压平衡。</w:t>
      </w:r>
    </w:p>
    <w:p>
      <w:pPr>
        <w:pStyle w:val="Heading1"/>
      </w:pPr>
      <w:r>
        <w:t>2. 预测与执行机制</w:t>
      </w:r>
    </w:p>
    <w:p>
      <w:r>
        <w:t>物理状态为 [相对位置 mm、速度 m/s、P1 MPa、P2 MPa、阀位等效 V]，加入上一周期实际电压 u_prev 后为 6 维增广状态，优化变量为未来电压增量。局部雅可比与矩阵指数构建含仿射项的 LTV 零阶保持离散模型，保留初始状态及绝对压力偏置；有限时域二次规划以 OSQP 为主要求解器，只执行首个电压，下一采样以真实状态重新规划。</w:t>
      </w:r>
    </w:p>
    <w:p>
      <w:r>
        <w:t>两组 MPC 共用 Q=diag([100,50,0,0,0])，分别惩罚位置 mm 与速度 m/s 的误差；运动期电压增量权重 W=0.01。当 |位置误差|≤0.5 mm 且 |速度|≤0.1 m/s 时，两组共同切换到 W=0.1，抑制末端指令抖动。这是基于当前状态的优化代价调度，未平滑计算后的电压或轨迹；CSV 的 move_weight、settling_cost_active 与逐步日志保存实际模式。</w:t>
      </w:r>
    </w:p>
    <w:p>
      <w:r>
        <w:t>输入约束组限制实际电压 ±10 V 与单步电压变化量；完整组在相同输入约束上增加 P2 上限。名义安全线为 21 MPa，预测裕量为 0.5 MPa。默认完整组没有开启 P1 上限或两腔压力下限，因此不能据 P2 结果宣称两腔均受硬保护。局部 QP 解还需检查残差及非线性预测可行性。</w:t>
      </w:r>
    </w:p>
    <w:p>
      <w:r>
        <w:t>完整组的非线性预测节点上界为 20.5 MPa；局部 QP 再向内缩 0.001 MPa，使用 20.499 MPa 上界，为局部线性化曲率保留数值余量。实际安全线仍为 21 MPa，不能将预测节点界与真实采样间压力峰混为同一个量。</w:t>
      </w:r>
    </w:p>
    <w:p>
      <w:r>
        <w:t>OSQP 的状态、有限值及独立原始/对偶残差通过后才接受。若未通过，备用 Clarabel 解同一个 QP 并独立验证；原 OSQP 失败状态保留，不重标为成功。历史移位方案只有从当前测量状态重新检查输入边界与非线性压力可行性后才能采用；没有可信方案即明确报错，不静默持位、软化压力限制或强制裁剪压力状态。</w:t>
      </w:r>
    </w:p>
    <w:p>
      <w:r>
        <w:t>真实对象采用事件驱动静摩擦、硬阀死区、有向孔口、泄漏、补油及阀动态的混合 ODE；预测对象采用公开的光滑滑动近似，使雅可比和局部优化可计算。预测正则化只属于控制模型，不会修改真实摩擦事件或真实死区。图中的压力来自高密积分轨迹，包含控制采样间的压力峰；未人为注入压力脉冲、裁剪压力状态或平滑绘图。局部模型约束及有限场景验证不构成全局安全保证。</w:t>
      </w:r>
    </w:p>
    <w:p>
      <w:r>
        <w:t>预测正则化尺度：pressure_epsilon_pa=1000.0；deadzone_epsilon_v=0.1；direction_epsilon_v=0.05；friction_epsilon_m_s=0.002。</w:t>
      </w:r>
    </w:p>
    <w:p>
      <w:pPr>
        <w:pStyle w:val="Heading1"/>
      </w:pPr>
      <w:r>
        <w:t>3. 本次实际结果</w:t>
      </w:r>
    </w:p>
    <w:tbl>
      <w:tblPr>
        <w:tblW w:type="auto" w:w="0"/>
        <w:tblLayout w:type="autofit"/>
        <w:tblLook w:firstColumn="1" w:firstRow="1" w:lastColumn="0" w:lastRow="0" w:noHBand="0" w:noVBand="1" w:val="04A0"/>
        <w:tblBorders>
          <w:top w:val="single" w:sz="8" w:color="505050"/>
          <w:bottom w:val="single" w:sz="8" w:color="505050"/>
          <w:left w:val="nil" w:sz="8" w:color="505050"/>
          <w:right w:val="nil" w:sz="8" w:color="505050"/>
          <w:insideH w:val="nil" w:sz="8" w:color="505050"/>
          <w:insideV w:val="nil" w:sz="8" w:color="505050"/>
        </w:tblBorders>
      </w:tblPr>
      <w:tblGrid>
        <w:gridCol w:w="2592"/>
        <w:gridCol w:w="2592"/>
        <w:gridCol w:w="2592"/>
        <w:gridCol w:w="2592"/>
      </w:tblGrid>
      <w:tr>
        <w:tc>
          <w:tcPr>
            <w:tcW w:type="dxa" w:w="2592"/>
            <w:tcBorders>
              <w:bottom w:val="single" w:sz="6"/>
            </w:tcBorders>
          </w:tcPr>
          <w:p>
            <w:r>
              <w:rPr>
                <w:b/>
              </w:rPr>
              <w:t>指标</w:t>
            </w:r>
          </w:p>
        </w:tc>
        <w:tc>
          <w:tcPr>
            <w:tcW w:type="dxa" w:w="2592"/>
            <w:tcBorders>
              <w:bottom w:val="single" w:sz="6"/>
            </w:tcBorders>
          </w:tcPr>
          <w:p>
            <w:r>
              <w:rPr>
                <w:b/>
              </w:rPr>
              <w:t>前馈 + PID</w:t>
            </w:r>
          </w:p>
        </w:tc>
        <w:tc>
          <w:tcPr>
            <w:tcW w:type="dxa" w:w="2592"/>
            <w:tcBorders>
              <w:bottom w:val="single" w:sz="6"/>
            </w:tcBorders>
          </w:tcPr>
          <w:p>
            <w:r>
              <w:rPr>
                <w:b/>
              </w:rPr>
              <w:t>仅输入约束 MPC</w:t>
            </w:r>
          </w:p>
        </w:tc>
        <w:tc>
          <w:tcPr>
            <w:tcW w:type="dxa" w:w="2592"/>
            <w:tcBorders>
              <w:bottom w:val="single" w:sz="6"/>
            </w:tcBorders>
          </w:tcPr>
          <w:p>
            <w:r>
              <w:rPr>
                <w:b/>
              </w:rPr>
              <w:t>输入 + P2 约束 MPC</w:t>
            </w:r>
          </w:p>
        </w:tc>
      </w:tr>
      <w:tr>
        <w:tc>
          <w:tcPr>
            <w:tcW w:type="dxa" w:w="2592"/>
          </w:tcPr>
          <w:p>
            <w:r>
              <w:t>最大相对位移 / mm</w:t>
            </w:r>
          </w:p>
        </w:tc>
        <w:tc>
          <w:tcPr>
            <w:tcW w:type="dxa" w:w="2592"/>
          </w:tcPr>
          <w:p>
            <w:r>
              <w:t>57.6228</w:t>
            </w:r>
          </w:p>
        </w:tc>
        <w:tc>
          <w:tcPr>
            <w:tcW w:type="dxa" w:w="2592"/>
          </w:tcPr>
          <w:p>
            <w:r>
              <w:t>50.4688</w:t>
            </w:r>
          </w:p>
        </w:tc>
        <w:tc>
          <w:tcPr>
            <w:tcW w:type="dxa" w:w="2592"/>
          </w:tcPr>
          <w:p>
            <w:r>
              <w:t>50.7786</w:t>
            </w:r>
          </w:p>
        </w:tc>
      </w:tr>
      <w:tr>
        <w:tc>
          <w:tcPr>
            <w:tcW w:type="dxa" w:w="2592"/>
          </w:tcPr>
          <w:p>
            <w:r>
              <w:t>位置超调 / %</w:t>
            </w:r>
          </w:p>
        </w:tc>
        <w:tc>
          <w:tcPr>
            <w:tcW w:type="dxa" w:w="2592"/>
          </w:tcPr>
          <w:p>
            <w:r>
              <w:t>15.246</w:t>
            </w:r>
          </w:p>
        </w:tc>
        <w:tc>
          <w:tcPr>
            <w:tcW w:type="dxa" w:w="2592"/>
          </w:tcPr>
          <w:p>
            <w:r>
              <w:t>0.938</w:t>
            </w:r>
          </w:p>
        </w:tc>
        <w:tc>
          <w:tcPr>
            <w:tcW w:type="dxa" w:w="2592"/>
          </w:tcPr>
          <w:p>
            <w:r>
              <w:t>1.557</w:t>
            </w:r>
          </w:p>
        </w:tc>
      </w:tr>
      <w:tr>
        <w:tc>
          <w:tcPr>
            <w:tcW w:type="dxa" w:w="2592"/>
          </w:tcPr>
          <w:p>
            <w:r>
              <w:t>首次退出正饱和 / s</w:t>
            </w:r>
          </w:p>
        </w:tc>
        <w:tc>
          <w:tcPr>
            <w:tcW w:type="dxa" w:w="2592"/>
          </w:tcPr>
          <w:p>
            <w:r>
              <w:t>0.053</w:t>
            </w:r>
          </w:p>
        </w:tc>
        <w:tc>
          <w:tcPr>
            <w:tcW w:type="dxa" w:w="2592"/>
          </w:tcPr>
          <w:p>
            <w:r>
              <w:t>0.050</w:t>
            </w:r>
          </w:p>
        </w:tc>
        <w:tc>
          <w:tcPr>
            <w:tcW w:type="dxa" w:w="2592"/>
          </w:tcPr>
          <w:p>
            <w:r>
              <w:t>0.050</w:t>
            </w:r>
          </w:p>
        </w:tc>
      </w:tr>
      <w:tr>
        <w:tc>
          <w:tcPr>
            <w:tcW w:type="dxa" w:w="2592"/>
          </w:tcPr>
          <w:p>
            <w:r>
              <w:t>真实误差过零（采样插值）/ s</w:t>
            </w:r>
          </w:p>
        </w:tc>
        <w:tc>
          <w:tcPr>
            <w:tcW w:type="dxa" w:w="2592"/>
          </w:tcPr>
          <w:p>
            <w:r>
              <w:t>0.055062</w:t>
            </w:r>
          </w:p>
        </w:tc>
        <w:tc>
          <w:tcPr>
            <w:tcW w:type="dxa" w:w="2592"/>
          </w:tcPr>
          <w:p>
            <w:r>
              <w:t>0.056715</w:t>
            </w:r>
          </w:p>
        </w:tc>
        <w:tc>
          <w:tcPr>
            <w:tcW w:type="dxa" w:w="2592"/>
          </w:tcPr>
          <w:p>
            <w:r>
              <w:t>0.056729</w:t>
            </w:r>
          </w:p>
        </w:tc>
      </w:tr>
      <w:tr>
        <w:tc>
          <w:tcPr>
            <w:tcW w:type="dxa" w:w="2592"/>
          </w:tcPr>
          <w:p>
            <w:r>
              <w:t>0.15 s 真实误差 / mm</w:t>
            </w:r>
          </w:p>
        </w:tc>
        <w:tc>
          <w:tcPr>
            <w:tcW w:type="dxa" w:w="2592"/>
          </w:tcPr>
          <w:p>
            <w:r>
              <w:t>-1.0970</w:t>
            </w:r>
          </w:p>
        </w:tc>
        <w:tc>
          <w:tcPr>
            <w:tcW w:type="dxa" w:w="2592"/>
          </w:tcPr>
          <w:p>
            <w:r>
              <w:t>-0.0164</w:t>
            </w:r>
          </w:p>
        </w:tc>
        <w:tc>
          <w:tcPr>
            <w:tcW w:type="dxa" w:w="2592"/>
          </w:tcPr>
          <w:p>
            <w:r>
              <w:t>-0.0189</w:t>
            </w:r>
          </w:p>
        </w:tc>
      </w:tr>
      <w:tr>
        <w:tc>
          <w:tcPr>
            <w:tcW w:type="dxa" w:w="2592"/>
          </w:tcPr>
          <w:p>
            <w:r>
              <w:t>高密真实 P2 峰值 / MPa</w:t>
            </w:r>
          </w:p>
        </w:tc>
        <w:tc>
          <w:tcPr>
            <w:tcW w:type="dxa" w:w="2592"/>
          </w:tcPr>
          <w:p>
            <w:r>
              <w:t>23.82959</w:t>
            </w:r>
          </w:p>
        </w:tc>
        <w:tc>
          <w:tcPr>
            <w:tcW w:type="dxa" w:w="2592"/>
          </w:tcPr>
          <w:p>
            <w:r>
              <w:t>29.77188</w:t>
            </w:r>
          </w:p>
        </w:tc>
        <w:tc>
          <w:tcPr>
            <w:tcW w:type="dxa" w:w="2592"/>
          </w:tcPr>
          <w:p>
            <w:r>
              <w:t>20.59177</w:t>
            </w:r>
          </w:p>
        </w:tc>
      </w:tr>
      <w:tr>
        <w:tc>
          <w:tcPr>
            <w:tcW w:type="dxa" w:w="2592"/>
          </w:tcPr>
          <w:p>
            <w:r>
              <w:t>超过 P2 安全线的峰值 / MPa</w:t>
            </w:r>
          </w:p>
        </w:tc>
        <w:tc>
          <w:tcPr>
            <w:tcW w:type="dxa" w:w="2592"/>
          </w:tcPr>
          <w:p>
            <w:r>
              <w:t>2.82959</w:t>
            </w:r>
          </w:p>
        </w:tc>
        <w:tc>
          <w:tcPr>
            <w:tcW w:type="dxa" w:w="2592"/>
          </w:tcPr>
          <w:p>
            <w:r>
              <w:t>8.77188</w:t>
            </w:r>
          </w:p>
        </w:tc>
        <w:tc>
          <w:tcPr>
            <w:tcW w:type="dxa" w:w="2592"/>
          </w:tcPr>
          <w:p>
            <w:r>
              <w:t>0.00000</w:t>
            </w:r>
          </w:p>
        </w:tc>
      </w:tr>
      <w:tr>
        <w:tc>
          <w:tcPr>
            <w:tcW w:type="dxa" w:w="2592"/>
          </w:tcPr>
          <w:p>
            <w:r>
              <w:t>真实 P1 峰值（未约束）/ MPa</w:t>
            </w:r>
          </w:p>
        </w:tc>
        <w:tc>
          <w:tcPr>
            <w:tcW w:type="dxa" w:w="2592"/>
          </w:tcPr>
          <w:p>
            <w:r>
              <w:t>15.57544</w:t>
            </w:r>
          </w:p>
        </w:tc>
        <w:tc>
          <w:tcPr>
            <w:tcW w:type="dxa" w:w="2592"/>
          </w:tcPr>
          <w:p>
            <w:r>
              <w:t>15.20615</w:t>
            </w:r>
          </w:p>
        </w:tc>
        <w:tc>
          <w:tcPr>
            <w:tcW w:type="dxa" w:w="2592"/>
          </w:tcPr>
          <w:p>
            <w:r>
              <w:t>14.95371</w:t>
            </w:r>
          </w:p>
        </w:tc>
      </w:tr>
      <w:tr>
        <w:tc>
          <w:tcPr>
            <w:tcW w:type="dxa" w:w="2592"/>
          </w:tcPr>
          <w:p>
            <w:r>
              <w:t>限幅前候选电压峰值 / V</w:t>
            </w:r>
          </w:p>
        </w:tc>
        <w:tc>
          <w:tcPr>
            <w:tcW w:type="dxa" w:w="2592"/>
          </w:tcPr>
          <w:p>
            <w:r>
              <w:t>50.1833</w:t>
            </w:r>
          </w:p>
        </w:tc>
        <w:tc>
          <w:tcPr>
            <w:tcW w:type="dxa" w:w="2592"/>
          </w:tcPr>
          <w:p>
            <w:r>
              <w:t>10.0000</w:t>
            </w:r>
          </w:p>
        </w:tc>
        <w:tc>
          <w:tcPr>
            <w:tcW w:type="dxa" w:w="2592"/>
          </w:tcPr>
          <w:p>
            <w:r>
              <w:t>10.0000</w:t>
            </w:r>
          </w:p>
        </w:tc>
      </w:tr>
      <w:tr>
        <w:tc>
          <w:tcPr>
            <w:tcW w:type="dxa" w:w="2592"/>
          </w:tcPr>
          <w:p>
            <w:r>
              <w:t>最大实际 |u| / V</w:t>
            </w:r>
          </w:p>
        </w:tc>
        <w:tc>
          <w:tcPr>
            <w:tcW w:type="dxa" w:w="2592"/>
          </w:tcPr>
          <w:p>
            <w:r>
              <w:t>10.0000</w:t>
            </w:r>
          </w:p>
        </w:tc>
        <w:tc>
          <w:tcPr>
            <w:tcW w:type="dxa" w:w="2592"/>
          </w:tcPr>
          <w:p>
            <w:r>
              <w:t>10.0000</w:t>
            </w:r>
          </w:p>
        </w:tc>
        <w:tc>
          <w:tcPr>
            <w:tcW w:type="dxa" w:w="2592"/>
          </w:tcPr>
          <w:p>
            <w:r>
              <w:t>10.0000</w:t>
            </w:r>
          </w:p>
        </w:tc>
      </w:tr>
      <w:tr>
        <w:tc>
          <w:tcPr>
            <w:tcW w:type="dxa" w:w="2592"/>
          </w:tcPr>
          <w:p>
            <w:r>
              <w:t>最大实际 |Δu| / V</w:t>
            </w:r>
          </w:p>
        </w:tc>
        <w:tc>
          <w:tcPr>
            <w:tcW w:type="dxa" w:w="2592"/>
          </w:tcPr>
          <w:p>
            <w:r>
              <w:t>10.0000</w:t>
            </w:r>
          </w:p>
        </w:tc>
        <w:tc>
          <w:tcPr>
            <w:tcW w:type="dxa" w:w="2592"/>
          </w:tcPr>
          <w:p>
            <w:r>
              <w:t>4.5000</w:t>
            </w:r>
          </w:p>
        </w:tc>
        <w:tc>
          <w:tcPr>
            <w:tcW w:type="dxa" w:w="2592"/>
          </w:tcPr>
          <w:p>
            <w:r>
              <w:t>4.5000</w:t>
            </w:r>
          </w:p>
        </w:tc>
      </w:tr>
      <w:tr>
        <w:tc>
          <w:tcPr>
            <w:tcW w:type="dxa" w:w="2592"/>
          </w:tcPr>
          <w:p>
            <w:r>
              <w:t>最后 20 ms 最大 |e| / mm</w:t>
            </w:r>
          </w:p>
        </w:tc>
        <w:tc>
          <w:tcPr>
            <w:tcW w:type="dxa" w:w="2592"/>
          </w:tcPr>
          <w:p>
            <w:r>
              <w:t>1.1256</w:t>
            </w:r>
          </w:p>
        </w:tc>
        <w:tc>
          <w:tcPr>
            <w:tcW w:type="dxa" w:w="2592"/>
          </w:tcPr>
          <w:p>
            <w:r>
              <w:t>0.0164</w:t>
            </w:r>
          </w:p>
        </w:tc>
        <w:tc>
          <w:tcPr>
            <w:tcW w:type="dxa" w:w="2592"/>
          </w:tcPr>
          <w:p>
            <w:r>
              <w:t>0.0189</w:t>
            </w:r>
          </w:p>
        </w:tc>
      </w:tr>
      <w:tr>
        <w:tc>
          <w:tcPr>
            <w:tcW w:type="dxa" w:w="2592"/>
          </w:tcPr>
          <w:p>
            <w:r>
              <w:t>QP 实测耗时中位数 / ms</w:t>
            </w:r>
          </w:p>
        </w:tc>
        <w:tc>
          <w:tcPr>
            <w:tcW w:type="dxa" w:w="2592"/>
          </w:tcPr>
          <w:p>
            <w:r>
              <w:t>不适用</w:t>
            </w:r>
          </w:p>
        </w:tc>
        <w:tc>
          <w:tcPr>
            <w:tcW w:type="dxa" w:w="2592"/>
          </w:tcPr>
          <w:p>
            <w:r>
              <w:t>0.2141</w:t>
            </w:r>
          </w:p>
        </w:tc>
        <w:tc>
          <w:tcPr>
            <w:tcW w:type="dxa" w:w="2592"/>
          </w:tcPr>
          <w:p>
            <w:r>
              <w:t>0.2798</w:t>
            </w:r>
          </w:p>
        </w:tc>
      </w:tr>
      <w:tr>
        <w:tc>
          <w:tcPr>
            <w:tcW w:type="dxa" w:w="2592"/>
          </w:tcPr>
          <w:p>
            <w:r>
              <w:t>QP 实测最大耗时 / ms</w:t>
            </w:r>
          </w:p>
        </w:tc>
        <w:tc>
          <w:tcPr>
            <w:tcW w:type="dxa" w:w="2592"/>
          </w:tcPr>
          <w:p>
            <w:r>
              <w:t>不适用</w:t>
            </w:r>
          </w:p>
        </w:tc>
        <w:tc>
          <w:tcPr>
            <w:tcW w:type="dxa" w:w="2592"/>
          </w:tcPr>
          <w:p>
            <w:r>
              <w:t>23.3526</w:t>
            </w:r>
          </w:p>
        </w:tc>
        <w:tc>
          <w:tcPr>
            <w:tcW w:type="dxa" w:w="2592"/>
          </w:tcPr>
          <w:p>
            <w:r>
              <w:t>40.1525</w:t>
            </w:r>
          </w:p>
        </w:tc>
      </w:tr>
      <w:tr>
        <w:tc>
          <w:tcPr>
            <w:tcW w:type="dxa" w:w="2592"/>
          </w:tcPr>
          <w:p>
            <w:r>
              <w:t>完整控制步骤耗时中位数 / ms</w:t>
            </w:r>
          </w:p>
        </w:tc>
        <w:tc>
          <w:tcPr>
            <w:tcW w:type="dxa" w:w="2592"/>
          </w:tcPr>
          <w:p>
            <w:r>
              <w:t>0.0142</w:t>
            </w:r>
          </w:p>
        </w:tc>
        <w:tc>
          <w:tcPr>
            <w:tcW w:type="dxa" w:w="2592"/>
          </w:tcPr>
          <w:p>
            <w:r>
              <w:t>108.6556</w:t>
            </w:r>
          </w:p>
        </w:tc>
        <w:tc>
          <w:tcPr>
            <w:tcW w:type="dxa" w:w="2592"/>
          </w:tcPr>
          <w:p>
            <w:r>
              <w:t>110.8701</w:t>
            </w:r>
          </w:p>
        </w:tc>
      </w:tr>
      <w:tr>
        <w:tc>
          <w:tcPr>
            <w:tcW w:type="dxa" w:w="2592"/>
          </w:tcPr>
          <w:p>
            <w:r>
              <w:t>完整控制步骤最大耗时 / ms</w:t>
            </w:r>
          </w:p>
        </w:tc>
        <w:tc>
          <w:tcPr>
            <w:tcW w:type="dxa" w:w="2592"/>
          </w:tcPr>
          <w:p>
            <w:r>
              <w:t>0.8923</w:t>
            </w:r>
          </w:p>
        </w:tc>
        <w:tc>
          <w:tcPr>
            <w:tcW w:type="dxa" w:w="2592"/>
          </w:tcPr>
          <w:p>
            <w:r>
              <w:t>541.0423</w:t>
            </w:r>
          </w:p>
        </w:tc>
        <w:tc>
          <w:tcPr>
            <w:tcW w:type="dxa" w:w="2592"/>
          </w:tcPr>
          <w:p>
            <w:r>
              <w:t>671.8124</w:t>
            </w:r>
          </w:p>
        </w:tc>
      </w:tr>
      <w:tr>
        <w:tc>
          <w:tcPr>
            <w:tcW w:type="dxa" w:w="2592"/>
          </w:tcPr>
          <w:p>
            <w:r>
              <w:t>完整步骤 ≤1 ms 的比例 / %</w:t>
            </w:r>
          </w:p>
        </w:tc>
        <w:tc>
          <w:tcPr>
            <w:tcW w:type="dxa" w:w="2592"/>
          </w:tcPr>
          <w:p>
            <w:r>
              <w:t>100.00</w:t>
            </w:r>
          </w:p>
        </w:tc>
        <w:tc>
          <w:tcPr>
            <w:tcW w:type="dxa" w:w="2592"/>
          </w:tcPr>
          <w:p>
            <w:r>
              <w:t>0.00</w:t>
            </w:r>
          </w:p>
        </w:tc>
        <w:tc>
          <w:tcPr>
            <w:tcW w:type="dxa" w:w="2592"/>
          </w:tcPr>
          <w:p>
            <w:r>
              <w:t>0.00</w:t>
            </w:r>
          </w:p>
        </w:tc>
      </w:tr>
      <w:tr>
        <w:tc>
          <w:tcPr>
            <w:tcW w:type="dxa" w:w="2592"/>
          </w:tcPr>
          <w:p>
            <w:r>
              <w:t>经非线性复核的移位方案次数</w:t>
            </w:r>
          </w:p>
        </w:tc>
        <w:tc>
          <w:tcPr>
            <w:tcW w:type="dxa" w:w="2592"/>
          </w:tcPr>
          <w:p>
            <w:r>
              <w:t>0</w:t>
            </w:r>
          </w:p>
        </w:tc>
        <w:tc>
          <w:tcPr>
            <w:tcW w:type="dxa" w:w="2592"/>
          </w:tcPr>
          <w:p>
            <w:r>
              <w:t>0</w:t>
            </w:r>
          </w:p>
        </w:tc>
        <w:tc>
          <w:tcPr>
            <w:tcW w:type="dxa" w:w="2592"/>
          </w:tcPr>
          <w:p>
            <w:r>
              <w:t>16</w:t>
            </w:r>
          </w:p>
        </w:tc>
      </w:tr>
      <w:tr>
        <w:tc>
          <w:tcPr>
            <w:tcW w:type="dxa" w:w="2592"/>
          </w:tcPr>
          <w:p>
            <w:r>
              <w:t>solved inaccurate 记录次数</w:t>
            </w:r>
          </w:p>
        </w:tc>
        <w:tc>
          <w:tcPr>
            <w:tcW w:type="dxa" w:w="2592"/>
          </w:tcPr>
          <w:p>
            <w:r>
              <w:t>0</w:t>
            </w:r>
          </w:p>
        </w:tc>
        <w:tc>
          <w:tcPr>
            <w:tcW w:type="dxa" w:w="2592"/>
          </w:tcPr>
          <w:p>
            <w:r>
              <w:t>0</w:t>
            </w:r>
          </w:p>
        </w:tc>
        <w:tc>
          <w:tcPr>
            <w:tcW w:type="dxa" w:w="2592"/>
          </w:tcPr>
          <w:p>
            <w:r>
              <w:t>0</w:t>
            </w:r>
          </w:p>
        </w:tc>
      </w:tr>
    </w:tbl>
    <w:p>
      <w:r>
        <w:t>超调以本次真实位移峰值及目标位移计算；P2 越限量是实际压力相对安全线的正部，不以控制采样压力替代积分峰值。P1 峰值单独披露，用于说明保护范围。图例和表格均引用本次记录，未将 PPT 示意峰值当作计算结果。</w:t>
      </w:r>
    </w:p>
    <w:p>
      <w:r>
        <w:t>传统组首次退出正饱和在 0.053 s，早于真实误差过零 0.055062 s。因此本次不能将其超调归因于误差反向后的正饱和迟滞；高速惯性、阀动态、计划前馈及累积积分共同影响超调。</w:t>
      </w:r>
    </w:p>
    <w:p>
      <w:r>
        <w:t>本次传统组在 0.15 s 的真实误差为 -1.0970 mm。非对称活塞面积、内泄漏与闭阀存压使本真实模型尾段仍保持较高压力；未人为把压力恢复到示意图的 2 MPa。末端残差与尾段压力形状也属于公开差异。</w:t>
      </w:r>
    </w:p>
    <w:tbl>
      <w:tblPr>
        <w:tblW w:type="auto" w:w="0"/>
        <w:tblLayout w:type="autofit"/>
        <w:tblLook w:firstColumn="1" w:firstRow="1" w:lastColumn="0" w:lastRow="0" w:noHBand="0" w:noVBand="1" w:val="04A0"/>
        <w:tblBorders>
          <w:top w:val="single" w:sz="8" w:color="505050"/>
          <w:bottom w:val="single" w:sz="8" w:color="505050"/>
          <w:left w:val="nil" w:sz="8" w:color="505050"/>
          <w:right w:val="nil" w:sz="8" w:color="505050"/>
          <w:insideH w:val="nil" w:sz="8" w:color="505050"/>
          <w:insideV w:val="nil" w:sz="8" w:color="505050"/>
        </w:tblBorders>
      </w:tblPr>
      <w:tblGrid>
        <w:gridCol w:w="2074"/>
        <w:gridCol w:w="2074"/>
        <w:gridCol w:w="2074"/>
        <w:gridCol w:w="2074"/>
        <w:gridCol w:w="2074"/>
      </w:tblGrid>
      <w:tr>
        <w:tc>
          <w:tcPr>
            <w:tcW w:type="dxa" w:w="2074"/>
            <w:tcBorders>
              <w:bottom w:val="single" w:sz="6"/>
            </w:tcBorders>
          </w:tcPr>
          <w:p>
            <w:r>
              <w:rPr>
                <w:b/>
              </w:rPr>
              <w:t>策略</w:t>
            </w:r>
          </w:p>
        </w:tc>
        <w:tc>
          <w:tcPr>
            <w:tcW w:type="dxa" w:w="2074"/>
            <w:tcBorders>
              <w:bottom w:val="single" w:sz="6"/>
            </w:tcBorders>
          </w:tcPr>
          <w:p>
            <w:r>
              <w:rPr>
                <w:b/>
              </w:rPr>
              <w:t>PPT 超调 / %</w:t>
            </w:r>
          </w:p>
        </w:tc>
        <w:tc>
          <w:tcPr>
            <w:tcW w:type="dxa" w:w="2074"/>
            <w:tcBorders>
              <w:bottom w:val="single" w:sz="6"/>
            </w:tcBorders>
          </w:tcPr>
          <w:p>
            <w:r>
              <w:rPr>
                <w:b/>
              </w:rPr>
              <w:t>实际超调 / %</w:t>
            </w:r>
          </w:p>
        </w:tc>
        <w:tc>
          <w:tcPr>
            <w:tcW w:type="dxa" w:w="2074"/>
            <w:tcBorders>
              <w:bottom w:val="single" w:sz="6"/>
            </w:tcBorders>
          </w:tcPr>
          <w:p>
            <w:r>
              <w:rPr>
                <w:b/>
              </w:rPr>
              <w:t>PPT P2 峰值 / MPa</w:t>
            </w:r>
          </w:p>
        </w:tc>
        <w:tc>
          <w:tcPr>
            <w:tcW w:type="dxa" w:w="2074"/>
            <w:tcBorders>
              <w:bottom w:val="single" w:sz="6"/>
            </w:tcBorders>
          </w:tcPr>
          <w:p>
            <w:r>
              <w:rPr>
                <w:b/>
              </w:rPr>
              <w:t>实际 P2 峰值 / MPa</w:t>
            </w:r>
          </w:p>
        </w:tc>
      </w:tr>
      <w:tr>
        <w:tc>
          <w:tcPr>
            <w:tcW w:type="dxa" w:w="2074"/>
          </w:tcPr>
          <w:p>
            <w:r>
              <w:t>前馈 + PID</w:t>
            </w:r>
          </w:p>
        </w:tc>
        <w:tc>
          <w:tcPr>
            <w:tcW w:type="dxa" w:w="2074"/>
          </w:tcPr>
          <w:p>
            <w:r>
              <w:t>16.000</w:t>
            </w:r>
          </w:p>
        </w:tc>
        <w:tc>
          <w:tcPr>
            <w:tcW w:type="dxa" w:w="2074"/>
          </w:tcPr>
          <w:p>
            <w:r>
              <w:t>15.246</w:t>
            </w:r>
          </w:p>
        </w:tc>
        <w:tc>
          <w:tcPr>
            <w:tcW w:type="dxa" w:w="2074"/>
          </w:tcPr>
          <w:p>
            <w:r>
              <w:t>24.500</w:t>
            </w:r>
          </w:p>
        </w:tc>
        <w:tc>
          <w:tcPr>
            <w:tcW w:type="dxa" w:w="2074"/>
          </w:tcPr>
          <w:p>
            <w:r>
              <w:t>23.830</w:t>
            </w:r>
          </w:p>
        </w:tc>
      </w:tr>
      <w:tr>
        <w:tc>
          <w:tcPr>
            <w:tcW w:type="dxa" w:w="2074"/>
          </w:tcPr>
          <w:p>
            <w:r>
              <w:t>仅输入约束 MPC</w:t>
            </w:r>
          </w:p>
        </w:tc>
        <w:tc>
          <w:tcPr>
            <w:tcW w:type="dxa" w:w="2074"/>
          </w:tcPr>
          <w:p>
            <w:r>
              <w:t>0.800</w:t>
            </w:r>
          </w:p>
        </w:tc>
        <w:tc>
          <w:tcPr>
            <w:tcW w:type="dxa" w:w="2074"/>
          </w:tcPr>
          <w:p>
            <w:r>
              <w:t>0.938</w:t>
            </w:r>
          </w:p>
        </w:tc>
        <w:tc>
          <w:tcPr>
            <w:tcW w:type="dxa" w:w="2074"/>
          </w:tcPr>
          <w:p>
            <w:r>
              <w:t>34.060</w:t>
            </w:r>
          </w:p>
        </w:tc>
        <w:tc>
          <w:tcPr>
            <w:tcW w:type="dxa" w:w="2074"/>
          </w:tcPr>
          <w:p>
            <w:r>
              <w:t>29.772</w:t>
            </w:r>
          </w:p>
        </w:tc>
      </w:tr>
      <w:tr>
        <w:tc>
          <w:tcPr>
            <w:tcW w:type="dxa" w:w="2074"/>
          </w:tcPr>
          <w:p>
            <w:r>
              <w:t>输入 + P2 约束 MPC</w:t>
            </w:r>
          </w:p>
        </w:tc>
        <w:tc>
          <w:tcPr>
            <w:tcW w:type="dxa" w:w="2074"/>
          </w:tcPr>
          <w:p>
            <w:r>
              <w:t>0.900</w:t>
            </w:r>
          </w:p>
        </w:tc>
        <w:tc>
          <w:tcPr>
            <w:tcW w:type="dxa" w:w="2074"/>
          </w:tcPr>
          <w:p>
            <w:r>
              <w:t>1.557</w:t>
            </w:r>
          </w:p>
        </w:tc>
        <w:tc>
          <w:tcPr>
            <w:tcW w:type="dxa" w:w="2074"/>
          </w:tcPr>
          <w:p>
            <w:r>
              <w:t>21.010</w:t>
            </w:r>
          </w:p>
        </w:tc>
        <w:tc>
          <w:tcPr>
            <w:tcW w:type="dxa" w:w="2074"/>
          </w:tcPr>
          <w:p>
            <w:r>
              <w:t>20.592</w:t>
            </w:r>
          </w:p>
        </w:tc>
      </w:tr>
    </w:tbl>
    <w:p>
      <w:r>
        <w:t>上述差异保留公开。对象参数、预测近似、摩擦及优化配置会改变实测值，不保证示意图逐点重合，也不通过参数写死某个压力峰。</w:t>
      </w:r>
    </w:p>
    <w:p>
      <w:r>
        <w:drawing>
          <wp:inline xmlns:a="http://schemas.openxmlformats.org/drawingml/2006/main" xmlns:pic="http://schemas.openxmlformats.org/drawingml/2006/picture">
            <wp:extent cx="6583680" cy="3591098"/>
            <wp:docPr id="1" name="Picture 1"/>
            <wp:cNvGraphicFramePr>
              <a:graphicFrameLocks noChangeAspect="1"/>
            </wp:cNvGraphicFramePr>
            <a:graphic>
              <a:graphicData uri="http://schemas.openxmlformats.org/drawingml/2006/picture">
                <pic:pic>
                  <pic:nvPicPr>
                    <pic:cNvPr id="0" name="mpc_comparison.png"/>
                    <pic:cNvPicPr/>
                  </pic:nvPicPr>
                  <pic:blipFill>
                    <a:blip r:embed="rId9"/>
                    <a:stretch>
                      <a:fillRect/>
                    </a:stretch>
                  </pic:blipFill>
                  <pic:spPr>
                    <a:xfrm>
                      <a:off x="0" y="0"/>
                      <a:ext cx="6583680" cy="3591098"/>
                    </a:xfrm>
                    <a:prstGeom prst="rect"/>
                  </pic:spPr>
                </pic:pic>
              </a:graphicData>
            </a:graphic>
          </wp:inline>
        </w:drawing>
      </w:r>
    </w:p>
    <w:p>
      <w:r>
        <w:t>图 1　三策略实际位移、电压、有杆腔高密压力与速度；彩色点标记本次轨迹极值。</w:t>
      </w:r>
    </w:p>
    <w:p>
      <w:pPr>
        <w:pStyle w:val="Heading1"/>
      </w:pPr>
      <w:r>
        <w:t>4. 求解耗时与验证边界</w:t>
      </w:r>
    </w:p>
    <w:p>
      <w:r>
        <w:t>Ts=1 ms 表示仿真控制采样周期。QP 的计时与完整控制步骤计时分别记录，后者还包括局部线性化、预测、可行性检查等开销。中位数不能代替最坏时耗；未据本次桌面运行宣称满足 1 ms 硬实时。具体计时受 CPU、线程、软件版本与系统负载影响。</w:t>
      </w:r>
    </w:p>
    <w:p>
      <w:r>
        <w:t>本次仅输入组、完整组的完整控制步骤中位数分别为 108.656、110.870 ms。两组中位数均超过 1 ms 采样预算，当前实现未达到该实时要求。</w:t>
      </w:r>
    </w:p>
    <w:p>
      <w:r>
        <w:t>功能与数值检查状态：全部通过。原始检查条件及独立复算见 outputs/validation.json。</w:t>
      </w:r>
    </w:p>
    <w:p>
      <w:r>
        <w:t>严格积分复算使用本次已记录的控制电压，以更严格的积分容差重放真实对象，用于检查物理轨迹及采样间压力峰值的数值稳定性；该复算不重新执行 MPC 优化闭环。</w:t>
      </w:r>
    </w:p>
    <w:p>
      <w:r>
        <w:t>记录的回归测试数量：10。</w:t>
      </w:r>
    </w:p>
    <w:p>
      <w:r>
        <w:t>验证文件包含 50 项具名检查；不将未执行的检查标为通过。</w:t>
      </w:r>
    </w:p>
    <w:p>
      <w:pPr>
        <w:pStyle w:val="Heading1"/>
      </w:pPr>
      <w:r>
        <w:t>5. 复现与交付文件</w:t>
      </w:r>
    </w:p>
    <w:p>
      <w:r>
        <w:t>解压后进入 chapter7_latest 目录：python -m pip install -r requirements.txt；python mpc_hydraulic_lab.py；python -m unittest -v；独立复核命令按 README.md 执行；python package_delivery.py 重新生成报告、清单和 ZIP。</w:t>
      </w:r>
    </w:p>
    <w:p>
      <w:r>
        <w:t>交付包括本章全部源码、参数 JSON、依赖、教材材料、三组控制采样 CSV、高密压力数据、summary.json、validation.json、唯一四联图及本报告。CSV 单位直接编码在字段名中。manifest.json 按相对路径记录各文件字节数与 SHA256；ZIP 自身和 manifest 自身不参与清单哈希，防止循环依赖。相同设置可复现实验机制，计时及报告元数据不承诺逐字节一致。</w:t>
      </w:r>
    </w:p>
    <w:sectPr w:rsidR="00FC693F" w:rsidRPr="0006063C" w:rsidSect="00034616">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CJK SC" w:hAnsi="Noto Sans CJK SC" w:eastAsia="Noto Sans CJK S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CJK SC" w:hAnsi="Noto Sans CJK SC" w:eastAsia="Noto Sans CJK SC"/>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CJK SC" w:hAnsi="Noto Sans CJK SC" w:eastAsia="Noto Sans CJK SC"/>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Sans CJK SC" w:hAnsi="Noto Sans CJK SC" w:eastAsia="Noto Sans CJK SC"/>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