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第六章作业 6-3：死区逆补偿鲁棒性边界</w:t>
      </w:r>
    </w:p>
    <w:p>
      <w:r>
        <w:t>三策略共同模型：欠补偿平台、硬过补偿颤振与tanh光滑换向。</w:t>
      </w:r>
    </w:p>
    <w:p>
      <w:pPr>
        <w:pStyle w:val="Heading1"/>
      </w:pPr>
      <w:r>
        <w:t>1. 共同参数与试验条件</w:t>
      </w:r>
    </w:p>
    <w:p>
      <w:r>
        <w:t>三组使用相同的输入死区、动态有效阀口和机械速度课堂约化模型。共同的二级动态残差支路使硬逆映射的换向敏感性可在采样闭环中检验；三组只改变死区估计或补偿函数。曲线来自实际状态推进，没有注入预设振荡。</w:t>
      </w:r>
    </w:p>
    <w:tbl>
      <w:tblPr>
        <w:tblW w:type="auto" w:w="0"/>
        <w:tblLayout w:type="autofit"/>
        <w:tblLook w:firstColumn="1" w:firstRow="1" w:lastColumn="0" w:lastRow="0" w:noHBand="0" w:noVBand="1" w:val="04A0"/>
        <w:tblBorders>
          <w:top w:val="single" w:sz="8" w:color="555555"/>
          <w:bottom w:val="single" w:sz="8" w:color="555555"/>
          <w:left w:val="nil" w:sz="8" w:color="555555"/>
          <w:right w:val="nil" w:sz="8" w:color="555555"/>
          <w:insideH w:val="nil" w:sz="8" w:color="555555"/>
          <w:insideV w:val="nil" w:sz="8" w:color="555555"/>
        </w:tblBorders>
      </w:tblPr>
      <w:tblGrid>
        <w:gridCol w:w="5184"/>
        <w:gridCol w:w="5184"/>
      </w:tblGrid>
      <w:tr>
        <w:tc>
          <w:tcPr>
            <w:tcW w:type="dxa" w:w="5184"/>
            <w:tcBorders>
              <w:bottom w:val="single" w:sz="6"/>
            </w:tcBorders>
          </w:tcPr>
          <w:p>
            <w:r>
              <w:rPr>
                <w:b/>
              </w:rPr>
              <w:t>参数</w:t>
            </w:r>
          </w:p>
        </w:tc>
        <w:tc>
          <w:tcPr>
            <w:tcW w:type="dxa" w:w="5184"/>
            <w:tcBorders>
              <w:bottom w:val="single" w:sz="6"/>
            </w:tcBorders>
          </w:tcPr>
          <w:p>
            <w:r>
              <w:rPr>
                <w:b/>
              </w:rPr>
              <w:t>共同设置</w:t>
            </w:r>
          </w:p>
        </w:tc>
      </w:tr>
      <w:tr>
        <w:tc>
          <w:tcPr>
            <w:tcW w:type="dxa" w:w="5184"/>
          </w:tcPr>
          <w:p>
            <w:r>
              <w:t>正弦参考</w:t>
            </w:r>
          </w:p>
        </w:tc>
        <w:tc>
          <w:tcPr>
            <w:tcW w:type="dxa" w:w="5184"/>
          </w:tcPr>
          <w:p>
            <w:r>
              <w:t>5 V，0.1 Hz</w:t>
            </w:r>
          </w:p>
        </w:tc>
      </w:tr>
      <w:tr>
        <w:tc>
          <w:tcPr>
            <w:tcW w:type="dxa" w:w="5184"/>
          </w:tcPr>
          <w:p>
            <w:r>
              <w:t>采样/时长</w:t>
            </w:r>
          </w:p>
        </w:tc>
        <w:tc>
          <w:tcPr>
            <w:tcW w:type="dxa" w:w="5184"/>
          </w:tcPr>
          <w:p>
            <w:r>
              <w:t>1 ms / 10 s</w:t>
            </w:r>
          </w:p>
        </w:tc>
      </w:tr>
      <w:tr>
        <w:tc>
          <w:tcPr>
            <w:tcW w:type="dxa" w:w="5184"/>
          </w:tcPr>
          <w:p>
            <w:r>
              <w:t>真实死区/估计</w:t>
            </w:r>
          </w:p>
        </w:tc>
        <w:tc>
          <w:tcPr>
            <w:tcW w:type="dxa" w:w="5184"/>
          </w:tcPr>
          <w:p>
            <w:r>
              <w:t>±0.5 V；欠0.4 / 过0.6 V</w:t>
            </w:r>
          </w:p>
        </w:tc>
      </w:tr>
      <w:tr>
        <w:tc>
          <w:tcPr>
            <w:tcW w:type="dxa" w:w="5184"/>
          </w:tcPr>
          <w:p>
            <w:r>
              <w:t>速度增益</w:t>
            </w:r>
          </w:p>
        </w:tc>
        <w:tc>
          <w:tcPr>
            <w:tcW w:type="dxa" w:w="5184"/>
          </w:tcPr>
          <w:p>
            <w:r>
              <w:t>0.01 m/(s·V)，5 V对应50 mm/s标度</w:t>
            </w:r>
          </w:p>
        </w:tc>
      </w:tr>
      <w:tr>
        <w:tc>
          <w:tcPr>
            <w:tcW w:type="dxa" w:w="5184"/>
          </w:tcPr>
          <w:p>
            <w:r>
              <w:t>阀/速度时间常数</w:t>
            </w:r>
          </w:p>
        </w:tc>
        <w:tc>
          <w:tcPr>
            <w:tcW w:type="dxa" w:w="5184"/>
          </w:tcPr>
          <w:p>
            <w:r>
              <w:t>0.8 / 12 ms</w:t>
            </w:r>
          </w:p>
        </w:tc>
      </w:tr>
      <w:tr>
        <w:tc>
          <w:tcPr>
            <w:tcW w:type="dxa" w:w="5184"/>
          </w:tcPr>
          <w:p>
            <w:r>
              <w:t>普通PID</w:t>
            </w:r>
          </w:p>
        </w:tc>
        <w:tc>
          <w:tcPr>
            <w:tcW w:type="dxa" w:w="5184"/>
          </w:tcPr>
          <w:p>
            <w:r>
              <w:t>Kp=0，Ki=0，Kd=0</w:t>
            </w:r>
          </w:p>
        </w:tc>
      </w:tr>
      <w:tr>
        <w:tc>
          <w:tcPr>
            <w:tcW w:type="dxa" w:w="5184"/>
          </w:tcPr>
          <w:p>
            <w:r>
              <w:t>动态残差增益/滤波</w:t>
            </w:r>
          </w:p>
        </w:tc>
        <w:tc>
          <w:tcPr>
            <w:tcW w:type="dxa" w:w="5184"/>
          </w:tcPr>
          <w:p>
            <w:r>
              <w:t>Kw=30，两级τw=1.5 ms</w:t>
            </w:r>
          </w:p>
        </w:tc>
      </w:tr>
      <w:tr>
        <w:tc>
          <w:tcPr>
            <w:tcW w:type="dxa" w:w="5184"/>
          </w:tcPr>
          <w:p>
            <w:r>
              <w:t>整个残差缓存延迟</w:t>
            </w:r>
          </w:p>
        </w:tc>
        <w:tc>
          <w:tcPr>
            <w:tcW w:type="dxa" w:w="5184"/>
          </w:tcPr>
          <w:p>
            <w:r>
              <w:t>2采样，前馈不延迟</w:t>
            </w:r>
          </w:p>
        </w:tc>
      </w:tr>
      <w:tr>
        <w:tc>
          <w:tcPr>
            <w:tcW w:type="dxa" w:w="5184"/>
          </w:tcPr>
          <w:p>
            <w:r>
              <w:t>tanh beta</w:t>
            </w:r>
          </w:p>
        </w:tc>
        <w:tc>
          <w:tcPr>
            <w:tcW w:type="dxa" w:w="5184"/>
          </w:tcPr>
          <w:p>
            <w:r>
              <w:t>[5.0, 18.0, 50.0]</w:t>
            </w:r>
          </w:p>
        </w:tc>
      </w:tr>
      <w:tr>
        <w:tc>
          <w:tcPr>
            <w:tcW w:type="dxa" w:w="5184"/>
          </w:tcPr>
          <w:p>
            <w:r>
              <w:t>主图测量噪声</w:t>
            </w:r>
          </w:p>
        </w:tc>
        <w:tc>
          <w:tcPr>
            <w:tcW w:type="dxa" w:w="5184"/>
          </w:tcPr>
          <w:p>
            <w:r>
              <w:t>0 mm/s</w:t>
            </w:r>
          </w:p>
        </w:tc>
      </w:tr>
    </w:tbl>
    <w:p>
      <w:r>
        <w:t>Kv是图示速度标度；阀及速度时间常数沿用给定参考。动态残差滤波、增益和缓存延迟是明确新增的共同压力测试条件，不是PPT已经给定的辨识参数。三组只改变死区估计或补偿函数，均使用相同对象、反馈、初态及采样。</w:t>
      </w:r>
    </w:p>
    <w:p>
      <w:pPr>
        <w:pStyle w:val="Heading1"/>
      </w:pPr>
      <w:r>
        <w:t>2. 对象和控制律</w:t>
      </w:r>
    </w:p>
    <w:p>
      <w:r>
        <w:t>u_eff=Dδ(u)=sign(u)·max(|u|−δ,0)；τv·dz/dt=u_eff−z；τm·dv/dt=Kv·z−v。u_eff为题图静态死区输出，z为滤波后的有效阀口等效电压，二者不能混用；u_eff=0不代表动态阀口立即无流量。两级动态在每个ZOH输入区间解析积分，速度没有硬置零或后处理平滑。</w:t>
      </w:r>
    </w:p>
    <w:p>
      <w:r>
        <w:t>e[k]=(vd[k]−v_meas[k])/Kv；ed=e[k−d]；a=exp(−Ts/τw)。按采样顺序：L1[k]=aL1[k−1]+(1−a)ed；h1=ed−L1[k]；L2[k]=aL2[k−1]+(1−a)h1；h2=h1−L2[k]。u_lin=(vd+τm·ad)/Kv+Kw·h2。两级 washout 的 DC 增益为零，故保留慢变死区估计失配；它对动态残差和采样延迟敏感，用来测试硬逆函数的鲁棒性。</w:t>
      </w:r>
    </w:p>
    <w:p>
      <w:r>
        <w:t>硬补偿u=u_lin+δhat·sign(u_lin)，|u_lin|≤1e−10 V时输出零；光滑补偿u=u_lin+δhat·tanh(βu_lin)。最终执行电压限于±10 V。该动态残差测试架构不是原通用模块三的完整双腔逆动力学PID；质量、压力、泄漏和Stribeck摩擦未在本降阶通道中计算。原模块三保存在materials供比较。</w:t>
      </w:r>
    </w:p>
    <w:p>
      <w:pPr>
        <w:pStyle w:val="Heading1"/>
      </w:pPr>
      <w:r>
        <w:t>3. 六联图与定量结果</w:t>
      </w:r>
    </w:p>
    <w:p>
      <w:r>
        <w:t>换向窗口4.55–5.45s。有效信号零平台通过|u|≤δ的采样阈值重建统计；近零速度另外按|v|≤0.5mm/s统计。两者不等同。给定5 V、0.1 Hz和0.10 V残余静态死区时平台约为63.67 ms；示意图标注的约110 ms不作为本次实测值。</w:t>
      </w:r>
    </w:p>
    <w:p>
      <w:r>
        <w:t>电压和速度颤振采用4阶20Hz零相位高通分量统计，滤波只定义指标，不进入控制环或所绘曲线。单次快速换向也含高频分量，持续极限环需用零参考保持和停反馈反事实检验。</w:t>
      </w:r>
    </w:p>
    <w:tbl>
      <w:tblPr>
        <w:tblW w:type="auto" w:w="0"/>
        <w:tblLayout w:type="autofit"/>
        <w:tblLook w:firstColumn="1" w:firstRow="1" w:lastColumn="0" w:lastRow="0" w:noHBand="0" w:noVBand="1" w:val="04A0"/>
        <w:tblBorders>
          <w:top w:val="single" w:sz="8" w:color="555555"/>
          <w:bottom w:val="single" w:sz="8" w:color="555555"/>
          <w:left w:val="nil" w:sz="8" w:color="555555"/>
          <w:right w:val="nil" w:sz="8" w:color="555555"/>
          <w:insideH w:val="nil" w:sz="8" w:color="555555"/>
          <w:insideV w:val="nil" w:sz="8" w:color="555555"/>
        </w:tblBorders>
      </w:tblPr>
      <w:tblGrid>
        <w:gridCol w:w="2592"/>
        <w:gridCol w:w="2592"/>
        <w:gridCol w:w="2592"/>
        <w:gridCol w:w="2592"/>
      </w:tblGrid>
      <w:tr>
        <w:tc>
          <w:tcPr>
            <w:tcW w:type="dxa" w:w="2592"/>
            <w:tcBorders>
              <w:bottom w:val="single" w:sz="6"/>
            </w:tcBorders>
          </w:tcPr>
          <w:p>
            <w:r>
              <w:rPr>
                <w:b/>
              </w:rPr>
              <w:t>指标</w:t>
            </w:r>
          </w:p>
        </w:tc>
        <w:tc>
          <w:tcPr>
            <w:tcW w:type="dxa" w:w="2592"/>
            <w:tcBorders>
              <w:bottom w:val="single" w:sz="6"/>
            </w:tcBorders>
          </w:tcPr>
          <w:p>
            <w:r>
              <w:rPr>
                <w:b/>
              </w:rPr>
              <w:t>A 欠补偿</w:t>
            </w:r>
          </w:p>
        </w:tc>
        <w:tc>
          <w:tcPr>
            <w:tcW w:type="dxa" w:w="2592"/>
            <w:tcBorders>
              <w:bottom w:val="single" w:sz="6"/>
            </w:tcBorders>
          </w:tcPr>
          <w:p>
            <w:r>
              <w:rPr>
                <w:b/>
              </w:rPr>
              <w:t>B 硬过补偿</w:t>
            </w:r>
          </w:p>
        </w:tc>
        <w:tc>
          <w:tcPr>
            <w:tcW w:type="dxa" w:w="2592"/>
            <w:tcBorders>
              <w:bottom w:val="single" w:sz="6"/>
            </w:tcBorders>
          </w:tcPr>
          <w:p>
            <w:r>
              <w:rPr>
                <w:b/>
              </w:rPr>
              <w:t>C tanh 光滑补偿</w:t>
            </w:r>
          </w:p>
        </w:tc>
      </w:tr>
      <w:tr>
        <w:tc>
          <w:tcPr>
            <w:tcW w:type="dxa" w:w="2592"/>
          </w:tcPr>
          <w:p>
            <w:r>
              <w:t>有效信号最长零平台 / ms</w:t>
            </w:r>
          </w:p>
        </w:tc>
        <w:tc>
          <w:tcPr>
            <w:tcW w:type="dxa" w:w="2592"/>
          </w:tcPr>
          <w:p>
            <w:r>
              <w:t>63.640</w:t>
            </w:r>
          </w:p>
        </w:tc>
        <w:tc>
          <w:tcPr>
            <w:tcW w:type="dxa" w:w="2592"/>
          </w:tcPr>
          <w:p>
            <w:r>
              <w:t>0.831</w:t>
            </w:r>
          </w:p>
        </w:tc>
        <w:tc>
          <w:tcPr>
            <w:tcW w:type="dxa" w:w="2592"/>
          </w:tcPr>
          <w:p>
            <w:r>
              <w:t>29.466</w:t>
            </w:r>
          </w:p>
        </w:tc>
      </w:tr>
      <w:tr>
        <w:tc>
          <w:tcPr>
            <w:tcW w:type="dxa" w:w="2592"/>
          </w:tcPr>
          <w:p>
            <w:r>
              <w:t>近零速度最长平台 / ms</w:t>
            </w:r>
          </w:p>
        </w:tc>
        <w:tc>
          <w:tcPr>
            <w:tcW w:type="dxa" w:w="2592"/>
          </w:tcPr>
          <w:p>
            <w:r>
              <w:t>95.209</w:t>
            </w:r>
          </w:p>
        </w:tc>
        <w:tc>
          <w:tcPr>
            <w:tcW w:type="dxa" w:w="2592"/>
          </w:tcPr>
          <w:p>
            <w:r>
              <w:t>14.313</w:t>
            </w:r>
          </w:p>
        </w:tc>
        <w:tc>
          <w:tcPr>
            <w:tcW w:type="dxa" w:w="2592"/>
          </w:tcPr>
          <w:p>
            <w:r>
              <w:t>35.386</w:t>
            </w:r>
          </w:p>
        </w:tc>
      </w:tr>
      <w:tr>
        <w:tc>
          <w:tcPr>
            <w:tcW w:type="dxa" w:w="2592"/>
          </w:tcPr>
          <w:p>
            <w:r>
              <w:t>电压高频峰峰值 / V</w:t>
            </w:r>
          </w:p>
        </w:tc>
        <w:tc>
          <w:tcPr>
            <w:tcW w:type="dxa" w:w="2592"/>
          </w:tcPr>
          <w:p>
            <w:r>
              <w:t>0.7672</w:t>
            </w:r>
          </w:p>
        </w:tc>
        <w:tc>
          <w:tcPr>
            <w:tcW w:type="dxa" w:w="2592"/>
          </w:tcPr>
          <w:p>
            <w:r>
              <w:t>2.0729</w:t>
            </w:r>
          </w:p>
        </w:tc>
        <w:tc>
          <w:tcPr>
            <w:tcW w:type="dxa" w:w="2592"/>
          </w:tcPr>
          <w:p>
            <w:r>
              <w:t>0.6546</w:t>
            </w:r>
          </w:p>
        </w:tc>
      </w:tr>
      <w:tr>
        <w:tc>
          <w:tcPr>
            <w:tcW w:type="dxa" w:w="2592"/>
          </w:tcPr>
          <w:p>
            <w:r>
              <w:t>速度高频峰峰值 / mm/s</w:t>
            </w:r>
          </w:p>
        </w:tc>
        <w:tc>
          <w:tcPr>
            <w:tcW w:type="dxa" w:w="2592"/>
          </w:tcPr>
          <w:p>
            <w:r>
              <w:t>0.0407</w:t>
            </w:r>
          </w:p>
        </w:tc>
        <w:tc>
          <w:tcPr>
            <w:tcW w:type="dxa" w:w="2592"/>
          </w:tcPr>
          <w:p>
            <w:r>
              <w:t>0.6196</w:t>
            </w:r>
          </w:p>
        </w:tc>
        <w:tc>
          <w:tcPr>
            <w:tcW w:type="dxa" w:w="2592"/>
          </w:tcPr>
          <w:p>
            <w:r>
              <w:t>0.3963</w:t>
            </w:r>
          </w:p>
        </w:tc>
      </w:tr>
      <w:tr>
        <w:tc>
          <w:tcPr>
            <w:tcW w:type="dxa" w:w="2592"/>
          </w:tcPr>
          <w:p>
            <w:r>
              <w:t>速度超额变差 / mm/s</w:t>
            </w:r>
          </w:p>
        </w:tc>
        <w:tc>
          <w:tcPr>
            <w:tcW w:type="dxa" w:w="2592"/>
          </w:tcPr>
          <w:p>
            <w:r>
              <w:t>0.0000</w:t>
            </w:r>
          </w:p>
        </w:tc>
        <w:tc>
          <w:tcPr>
            <w:tcW w:type="dxa" w:w="2592"/>
          </w:tcPr>
          <w:p>
            <w:r>
              <w:t>7.0442</w:t>
            </w:r>
          </w:p>
        </w:tc>
        <w:tc>
          <w:tcPr>
            <w:tcW w:type="dxa" w:w="2592"/>
          </w:tcPr>
          <w:p>
            <w:r>
              <w:t>1.6659</w:t>
            </w:r>
          </w:p>
        </w:tc>
      </w:tr>
      <w:tr>
        <w:tc>
          <w:tcPr>
            <w:tcW w:type="dxa" w:w="2592"/>
          </w:tcPr>
          <w:p>
            <w:r>
              <w:t>u_lin符号翻转次数</w:t>
            </w:r>
          </w:p>
        </w:tc>
        <w:tc>
          <w:tcPr>
            <w:tcW w:type="dxa" w:w="2592"/>
          </w:tcPr>
          <w:p>
            <w:r>
              <w:t>1</w:t>
            </w:r>
          </w:p>
        </w:tc>
        <w:tc>
          <w:tcPr>
            <w:tcW w:type="dxa" w:w="2592"/>
          </w:tcPr>
          <w:p>
            <w:r>
              <w:t>21</w:t>
            </w:r>
          </w:p>
        </w:tc>
        <w:tc>
          <w:tcPr>
            <w:tcW w:type="dxa" w:w="2592"/>
          </w:tcPr>
          <w:p>
            <w:r>
              <w:t>1</w:t>
            </w:r>
          </w:p>
        </w:tc>
      </w:tr>
      <w:tr>
        <w:tc>
          <w:tcPr>
            <w:tcW w:type="dxa" w:w="2592"/>
          </w:tcPr>
          <w:p>
            <w:r>
              <w:t>全周期速度RMSE / mm/s</w:t>
            </w:r>
          </w:p>
        </w:tc>
        <w:tc>
          <w:tcPr>
            <w:tcW w:type="dxa" w:w="2592"/>
          </w:tcPr>
          <w:p>
            <w:r>
              <w:t>0.99557</w:t>
            </w:r>
          </w:p>
        </w:tc>
        <w:tc>
          <w:tcPr>
            <w:tcW w:type="dxa" w:w="2592"/>
          </w:tcPr>
          <w:p>
            <w:r>
              <w:t>0.99583</w:t>
            </w:r>
          </w:p>
        </w:tc>
        <w:tc>
          <w:tcPr>
            <w:tcW w:type="dxa" w:w="2592"/>
          </w:tcPr>
          <w:p>
            <w:r>
              <w:t>0.99092</w:t>
            </w:r>
          </w:p>
        </w:tc>
      </w:tr>
      <w:tr>
        <w:tc>
          <w:tcPr>
            <w:tcW w:type="dxa" w:w="2592"/>
          </w:tcPr>
          <w:p>
            <w:r>
              <w:t>最大执行电压绝对值 / V</w:t>
            </w:r>
          </w:p>
        </w:tc>
        <w:tc>
          <w:tcPr>
            <w:tcW w:type="dxa" w:w="2592"/>
          </w:tcPr>
          <w:p>
            <w:r>
              <w:t>5.4001</w:t>
            </w:r>
          </w:p>
        </w:tc>
        <w:tc>
          <w:tcPr>
            <w:tcW w:type="dxa" w:w="2592"/>
          </w:tcPr>
          <w:p>
            <w:r>
              <w:t>5.6001</w:t>
            </w:r>
          </w:p>
        </w:tc>
        <w:tc>
          <w:tcPr>
            <w:tcW w:type="dxa" w:w="2592"/>
          </w:tcPr>
          <w:p>
            <w:r>
              <w:t>5.6001</w:t>
            </w:r>
          </w:p>
        </w:tc>
      </w:tr>
      <w:tr>
        <w:tc>
          <w:tcPr>
            <w:tcW w:type="dxa" w:w="2592"/>
          </w:tcPr>
          <w:p>
            <w:r>
              <w:t>电压饱和采样数</w:t>
            </w:r>
          </w:p>
        </w:tc>
        <w:tc>
          <w:tcPr>
            <w:tcW w:type="dxa" w:w="2592"/>
          </w:tcPr>
          <w:p>
            <w:r>
              <w:t>0</w:t>
            </w:r>
          </w:p>
        </w:tc>
        <w:tc>
          <w:tcPr>
            <w:tcW w:type="dxa" w:w="2592"/>
          </w:tcPr>
          <w:p>
            <w:r>
              <w:t>0</w:t>
            </w:r>
          </w:p>
        </w:tc>
        <w:tc>
          <w:tcPr>
            <w:tcW w:type="dxa" w:w="2592"/>
          </w:tcPr>
          <w:p>
            <w:r>
              <w:t>0</w:t>
            </w:r>
          </w:p>
        </w:tc>
      </w:tr>
    </w:tbl>
    <w:p>
      <w:r>
        <w:t>硬过补偿在放大窗口中的线性指令共发生 21 次符号切换，首末切换分别位于 4.988 s 与 5.057 s。相邻切换间隔中位数换算的完整往复频率约为 147.6 Hz；这是该采样闭环的观测切换频率，不代表液压对象的固有频率。</w:t>
      </w:r>
    </w:p>
    <w:p>
      <w:r>
        <w:drawing>
          <wp:inline xmlns:a="http://schemas.openxmlformats.org/drawingml/2006/main" xmlns:pic="http://schemas.openxmlformats.org/drawingml/2006/picture">
            <wp:extent cx="6583680" cy="3448594"/>
            <wp:docPr id="1" name="Picture 1"/>
            <wp:cNvGraphicFramePr>
              <a:graphicFrameLocks noChangeAspect="1"/>
            </wp:cNvGraphicFramePr>
            <a:graphic>
              <a:graphicData uri="http://schemas.openxmlformats.org/drawingml/2006/picture">
                <pic:pic>
                  <pic:nvPicPr>
                    <pic:cNvPr id="0" name="deadzone_comparison.png"/>
                    <pic:cNvPicPr/>
                  </pic:nvPicPr>
                  <pic:blipFill>
                    <a:blip r:embed="rId9"/>
                    <a:stretch>
                      <a:fillRect/>
                    </a:stretch>
                  </pic:blipFill>
                  <pic:spPr>
                    <a:xfrm>
                      <a:off x="0" y="0"/>
                      <a:ext cx="6583680" cy="3448594"/>
                    </a:xfrm>
                    <a:prstGeom prst="rect"/>
                  </pic:spPr>
                </pic:pic>
              </a:graphicData>
            </a:graphic>
          </wp:inline>
        </w:drawing>
      </w:r>
    </w:p>
    <w:p>
      <w:r>
        <w:t>图 1：直接绘制原始闭环记录；左列为全周期 (a1–a3)，右列为换向局部 (b1–b3)。图中有效信号为 D(u)，动态阀口状态另存 CSV。两组硬符号逆映射在零点均不连续。</w:t>
      </w:r>
    </w:p>
    <w:p>
      <w:pPr>
        <w:pStyle w:val="Heading1"/>
      </w:pPr>
      <w:r>
        <w:t>4. beta扫描和数学讨论</w:t>
      </w:r>
    </w:p>
    <w:tbl>
      <w:tblPr>
        <w:tblW w:type="auto" w:w="0"/>
        <w:tblLayout w:type="autofit"/>
        <w:tblLook w:firstColumn="1" w:firstRow="1" w:lastColumn="0" w:lastRow="0" w:noHBand="0" w:noVBand="1" w:val="04A0"/>
        <w:tblBorders>
          <w:top w:val="single" w:sz="8" w:color="555555"/>
          <w:bottom w:val="single" w:sz="8" w:color="555555"/>
          <w:left w:val="nil" w:sz="8" w:color="555555"/>
          <w:right w:val="nil" w:sz="8" w:color="555555"/>
          <w:insideH w:val="nil" w:sz="8" w:color="555555"/>
          <w:insideV w:val="nil" w:sz="8" w:color="555555"/>
        </w:tblBorders>
      </w:tblPr>
      <w:tblGrid>
        <w:gridCol w:w="1728"/>
        <w:gridCol w:w="1728"/>
        <w:gridCol w:w="1728"/>
        <w:gridCol w:w="1728"/>
        <w:gridCol w:w="1728"/>
        <w:gridCol w:w="1728"/>
      </w:tblGrid>
      <w:tr>
        <w:tc>
          <w:tcPr>
            <w:tcW w:type="dxa" w:w="1728"/>
            <w:tcBorders>
              <w:bottom w:val="single" w:sz="6"/>
            </w:tcBorders>
          </w:tcPr>
          <w:p>
            <w:r>
              <w:rPr>
                <w:b/>
              </w:rPr>
              <w:t>beta / V^-1</w:t>
            </w:r>
          </w:p>
        </w:tc>
        <w:tc>
          <w:tcPr>
            <w:tcW w:type="dxa" w:w="1728"/>
            <w:tcBorders>
              <w:bottom w:val="single" w:sz="6"/>
            </w:tcBorders>
          </w:tcPr>
          <w:p>
            <w:r>
              <w:rPr>
                <w:b/>
              </w:rPr>
              <w:t>有效信号零平台/ms</w:t>
            </w:r>
          </w:p>
        </w:tc>
        <w:tc>
          <w:tcPr>
            <w:tcW w:type="dxa" w:w="1728"/>
            <w:tcBorders>
              <w:bottom w:val="single" w:sz="6"/>
            </w:tcBorders>
          </w:tcPr>
          <w:p>
            <w:r>
              <w:rPr>
                <w:b/>
              </w:rPr>
              <w:t>近零速度/ms</w:t>
            </w:r>
          </w:p>
        </w:tc>
        <w:tc>
          <w:tcPr>
            <w:tcW w:type="dxa" w:w="1728"/>
            <w:tcBorders>
              <w:bottom w:val="single" w:sz="6"/>
            </w:tcBorders>
          </w:tcPr>
          <w:p>
            <w:r>
              <w:rPr>
                <w:b/>
              </w:rPr>
              <w:t>电压高频pp/V</w:t>
            </w:r>
          </w:p>
        </w:tc>
        <w:tc>
          <w:tcPr>
            <w:tcW w:type="dxa" w:w="1728"/>
            <w:tcBorders>
              <w:bottom w:val="single" w:sz="6"/>
            </w:tcBorders>
          </w:tcPr>
          <w:p>
            <w:r>
              <w:rPr>
                <w:b/>
              </w:rPr>
              <w:t>速度高频pp/mm/s</w:t>
            </w:r>
          </w:p>
        </w:tc>
        <w:tc>
          <w:tcPr>
            <w:tcW w:type="dxa" w:w="1728"/>
            <w:tcBorders>
              <w:bottom w:val="single" w:sz="6"/>
            </w:tcBorders>
          </w:tcPr>
          <w:p>
            <w:r>
              <w:rPr>
                <w:b/>
              </w:rPr>
              <w:t>RMSE/mm/s</w:t>
            </w:r>
          </w:p>
        </w:tc>
      </w:tr>
      <w:tr>
        <w:tc>
          <w:tcPr>
            <w:tcW w:type="dxa" w:w="1728"/>
          </w:tcPr>
          <w:p>
            <w:r>
              <w:t>5</w:t>
            </w:r>
          </w:p>
        </w:tc>
        <w:tc>
          <w:tcPr>
            <w:tcW w:type="dxa" w:w="1728"/>
          </w:tcPr>
          <w:p>
            <w:r>
              <w:t>87.573</w:t>
            </w:r>
          </w:p>
        </w:tc>
        <w:tc>
          <w:tcPr>
            <w:tcW w:type="dxa" w:w="1728"/>
          </w:tcPr>
          <w:p>
            <w:r>
              <w:t>96.602</w:t>
            </w:r>
          </w:p>
        </w:tc>
        <w:tc>
          <w:tcPr>
            <w:tcW w:type="dxa" w:w="1728"/>
          </w:tcPr>
          <w:p>
            <w:r>
              <w:t>0.8276</w:t>
            </w:r>
          </w:p>
        </w:tc>
        <w:tc>
          <w:tcPr>
            <w:tcW w:type="dxa" w:w="1728"/>
          </w:tcPr>
          <w:p>
            <w:r>
              <w:t>0.5624</w:t>
            </w:r>
          </w:p>
        </w:tc>
        <w:tc>
          <w:tcPr>
            <w:tcW w:type="dxa" w:w="1728"/>
          </w:tcPr>
          <w:p>
            <w:r>
              <w:t>0.98096</w:t>
            </w:r>
          </w:p>
        </w:tc>
      </w:tr>
      <w:tr>
        <w:tc>
          <w:tcPr>
            <w:tcW w:type="dxa" w:w="1728"/>
          </w:tcPr>
          <w:p>
            <w:r>
              <w:t>18</w:t>
            </w:r>
          </w:p>
        </w:tc>
        <w:tc>
          <w:tcPr>
            <w:tcW w:type="dxa" w:w="1728"/>
          </w:tcPr>
          <w:p>
            <w:r>
              <w:t>29.466</w:t>
            </w:r>
          </w:p>
        </w:tc>
        <w:tc>
          <w:tcPr>
            <w:tcW w:type="dxa" w:w="1728"/>
          </w:tcPr>
          <w:p>
            <w:r>
              <w:t>35.386</w:t>
            </w:r>
          </w:p>
        </w:tc>
        <w:tc>
          <w:tcPr>
            <w:tcW w:type="dxa" w:w="1728"/>
          </w:tcPr>
          <w:p>
            <w:r>
              <w:t>0.6546</w:t>
            </w:r>
          </w:p>
        </w:tc>
        <w:tc>
          <w:tcPr>
            <w:tcW w:type="dxa" w:w="1728"/>
          </w:tcPr>
          <w:p>
            <w:r>
              <w:t>0.3963</w:t>
            </w:r>
          </w:p>
        </w:tc>
        <w:tc>
          <w:tcPr>
            <w:tcW w:type="dxa" w:w="1728"/>
          </w:tcPr>
          <w:p>
            <w:r>
              <w:t>0.99092</w:t>
            </w:r>
          </w:p>
        </w:tc>
      </w:tr>
      <w:tr>
        <w:tc>
          <w:tcPr>
            <w:tcW w:type="dxa" w:w="1728"/>
          </w:tcPr>
          <w:p>
            <w:r>
              <w:t>50</w:t>
            </w:r>
          </w:p>
        </w:tc>
        <w:tc>
          <w:tcPr>
            <w:tcW w:type="dxa" w:w="1728"/>
          </w:tcPr>
          <w:p>
            <w:r>
              <w:t>6.960</w:t>
            </w:r>
          </w:p>
        </w:tc>
        <w:tc>
          <w:tcPr>
            <w:tcW w:type="dxa" w:w="1728"/>
          </w:tcPr>
          <w:p>
            <w:r>
              <w:t>14.244</w:t>
            </w:r>
          </w:p>
        </w:tc>
        <w:tc>
          <w:tcPr>
            <w:tcW w:type="dxa" w:w="1728"/>
          </w:tcPr>
          <w:p>
            <w:r>
              <w:t>1.4876</w:t>
            </w:r>
          </w:p>
        </w:tc>
        <w:tc>
          <w:tcPr>
            <w:tcW w:type="dxa" w:w="1728"/>
          </w:tcPr>
          <w:p>
            <w:r>
              <w:t>0.3242</w:t>
            </w:r>
          </w:p>
        </w:tc>
        <w:tc>
          <w:tcPr>
            <w:tcW w:type="dxa" w:w="1728"/>
          </w:tcPr>
          <w:p>
            <w:r>
              <w:t>0.99576</w:t>
            </w:r>
          </w:p>
        </w:tc>
      </w:tr>
    </w:tbl>
    <w:p>
      <w:r>
        <w:t>欠补偿静态残留0.10 V区间；5 V、0.1 Hz正弦的静态平台为2asin(0.10/5)/(2π·0.1)=63.67ms，机械近零速度平台可更宽。硬过补偿在零点两侧的命令极限为±0.60 V，死区输出极限为±0.10 V；反馈可维持反复换向。仅一次sign跳变不等于任意对象必然失稳。</w:t>
      </w:r>
    </w:p>
    <w:p>
      <w:r>
        <w:t>任何有限beta下，g(q)=q+0.6tanh(beta*q)连续且g(0)=0，必有正阈值g(q0)=0.5。因此光滑补偿仍有残余平台；完整映射零点斜率为1+0.6beta。增大beta通常缩短平台，但增强动态残差敏感性。主换向窗口与零参考保持的结论须分别报告，不能把所有tanh参数都称为无振荡。</w:t>
      </w:r>
    </w:p>
    <w:p>
      <w:pPr>
        <w:pStyle w:val="Heading2"/>
      </w:pPr>
      <w:r>
        <w:t>补充：测量噪声与零参考保持</w:t>
      </w:r>
    </w:p>
    <w:p>
      <w:r>
        <w:t>补充噪声试验采用标准差 0.020 mm/s、seed=63018 的共同加性测量噪声；重建噪声序列一致性检查：通过。这些结果独立保存，未改变无噪声主图或平滑实际速度。</w:t>
      </w:r>
    </w:p>
    <w:tbl>
      <w:tblPr>
        <w:tblW w:type="auto" w:w="0"/>
        <w:tblLayout w:type="autofit"/>
        <w:tblLook w:firstColumn="1" w:firstRow="1" w:lastColumn="0" w:lastRow="0" w:noHBand="0" w:noVBand="1" w:val="04A0"/>
        <w:tblBorders>
          <w:top w:val="single" w:sz="8" w:color="555555"/>
          <w:bottom w:val="single" w:sz="8" w:color="555555"/>
          <w:left w:val="nil" w:sz="8" w:color="555555"/>
          <w:right w:val="nil" w:sz="8" w:color="555555"/>
          <w:insideH w:val="nil" w:sz="8" w:color="555555"/>
          <w:insideV w:val="nil" w:sz="8" w:color="555555"/>
        </w:tblBorders>
      </w:tblPr>
      <w:tblGrid>
        <w:gridCol w:w="2592"/>
        <w:gridCol w:w="2592"/>
        <w:gridCol w:w="2592"/>
        <w:gridCol w:w="2592"/>
      </w:tblGrid>
      <w:tr>
        <w:tc>
          <w:tcPr>
            <w:tcW w:type="dxa" w:w="2592"/>
            <w:tcBorders>
              <w:bottom w:val="single" w:sz="6"/>
            </w:tcBorders>
          </w:tcPr>
          <w:p>
            <w:r>
              <w:rPr>
                <w:b/>
              </w:rPr>
              <w:t>β / V⁻¹</w:t>
            </w:r>
          </w:p>
        </w:tc>
        <w:tc>
          <w:tcPr>
            <w:tcW w:type="dxa" w:w="2592"/>
            <w:tcBorders>
              <w:bottom w:val="single" w:sz="6"/>
            </w:tcBorders>
          </w:tcPr>
          <w:p>
            <w:r>
              <w:rPr>
                <w:b/>
              </w:rPr>
              <w:t>有效信号零平台 / ms</w:t>
            </w:r>
          </w:p>
        </w:tc>
        <w:tc>
          <w:tcPr>
            <w:tcW w:type="dxa" w:w="2592"/>
            <w:tcBorders>
              <w:bottom w:val="single" w:sz="6"/>
            </w:tcBorders>
          </w:tcPr>
          <w:p>
            <w:r>
              <w:rPr>
                <w:b/>
              </w:rPr>
              <w:t>高通峰峰值 / V</w:t>
            </w:r>
          </w:p>
        </w:tc>
        <w:tc>
          <w:tcPr>
            <w:tcW w:type="dxa" w:w="2592"/>
            <w:tcBorders>
              <w:bottom w:val="single" w:sz="6"/>
            </w:tcBorders>
          </w:tcPr>
          <w:p>
            <w:r>
              <w:rPr>
                <w:b/>
              </w:rPr>
              <w:t>全程 RMSE / mm/s</w:t>
            </w:r>
          </w:p>
        </w:tc>
      </w:tr>
      <w:tr>
        <w:tc>
          <w:tcPr>
            <w:tcW w:type="dxa" w:w="2592"/>
          </w:tcPr>
          <w:p>
            <w:r>
              <w:t>5</w:t>
            </w:r>
          </w:p>
        </w:tc>
        <w:tc>
          <w:tcPr>
            <w:tcW w:type="dxa" w:w="2592"/>
          </w:tcPr>
          <w:p>
            <w:r>
              <w:t>69.005</w:t>
            </w:r>
          </w:p>
        </w:tc>
        <w:tc>
          <w:tcPr>
            <w:tcW w:type="dxa" w:w="2592"/>
          </w:tcPr>
          <w:p>
            <w:r>
              <w:t>1.13516</w:t>
            </w:r>
          </w:p>
        </w:tc>
        <w:tc>
          <w:tcPr>
            <w:tcW w:type="dxa" w:w="2592"/>
          </w:tcPr>
          <w:p>
            <w:r>
              <w:t>0.97848</w:t>
            </w:r>
          </w:p>
        </w:tc>
      </w:tr>
      <w:tr>
        <w:tc>
          <w:tcPr>
            <w:tcW w:type="dxa" w:w="2592"/>
          </w:tcPr>
          <w:p>
            <w:r>
              <w:t>18</w:t>
            </w:r>
          </w:p>
        </w:tc>
        <w:tc>
          <w:tcPr>
            <w:tcW w:type="dxa" w:w="2592"/>
          </w:tcPr>
          <w:p>
            <w:r>
              <w:t>13.624</w:t>
            </w:r>
          </w:p>
        </w:tc>
        <w:tc>
          <w:tcPr>
            <w:tcW w:type="dxa" w:w="2592"/>
          </w:tcPr>
          <w:p>
            <w:r>
              <w:t>1.62318</w:t>
            </w:r>
          </w:p>
        </w:tc>
        <w:tc>
          <w:tcPr>
            <w:tcW w:type="dxa" w:w="2592"/>
          </w:tcPr>
          <w:p>
            <w:r>
              <w:t>0.99127</w:t>
            </w:r>
          </w:p>
        </w:tc>
      </w:tr>
      <w:tr>
        <w:tc>
          <w:tcPr>
            <w:tcW w:type="dxa" w:w="2592"/>
          </w:tcPr>
          <w:p>
            <w:r>
              <w:t>50</w:t>
            </w:r>
          </w:p>
        </w:tc>
        <w:tc>
          <w:tcPr>
            <w:tcW w:type="dxa" w:w="2592"/>
          </w:tcPr>
          <w:p>
            <w:r>
              <w:t>2.638</w:t>
            </w:r>
          </w:p>
        </w:tc>
        <w:tc>
          <w:tcPr>
            <w:tcW w:type="dxa" w:w="2592"/>
          </w:tcPr>
          <w:p>
            <w:r>
              <w:t>2.02078</w:t>
            </w:r>
          </w:p>
        </w:tc>
        <w:tc>
          <w:tcPr>
            <w:tcW w:type="dxa" w:w="2592"/>
          </w:tcPr>
          <w:p>
            <w:r>
              <w:t>0.99488</w:t>
            </w:r>
          </w:p>
        </w:tc>
      </w:tr>
    </w:tbl>
    <w:p>
      <w:r>
        <w:t>保持试验从各策略正式轨迹 5.0 s 的实际阀位与速度继续，保持零速度参考 1.0 s，统计末 100 ms。控制器的完整误差队列及两级低通记忆由正式测量重建，不添加速度种子或噪声。同一策略的反事实沿用相同真实起点，关闭全部反馈，检验反复翻转是否由反馈维持。</w:t>
      </w:r>
    </w:p>
    <w:tbl>
      <w:tblPr>
        <w:tblW w:type="auto" w:w="0"/>
        <w:tblLayout w:type="autofit"/>
        <w:tblLook w:firstColumn="1" w:firstRow="1" w:lastColumn="0" w:lastRow="0" w:noHBand="0" w:noVBand="1" w:val="04A0"/>
        <w:tblBorders>
          <w:top w:val="single" w:sz="8" w:color="555555"/>
          <w:bottom w:val="single" w:sz="8" w:color="555555"/>
          <w:left w:val="nil" w:sz="8" w:color="555555"/>
          <w:right w:val="nil" w:sz="8" w:color="555555"/>
          <w:insideH w:val="nil" w:sz="8" w:color="555555"/>
          <w:insideV w:val="nil" w:sz="8" w:color="555555"/>
        </w:tblBorders>
      </w:tblPr>
      <w:tblGrid>
        <w:gridCol w:w="2074"/>
        <w:gridCol w:w="2074"/>
        <w:gridCol w:w="2074"/>
        <w:gridCol w:w="2074"/>
        <w:gridCol w:w="2074"/>
      </w:tblGrid>
      <w:tr>
        <w:tc>
          <w:tcPr>
            <w:tcW w:type="dxa" w:w="2074"/>
            <w:tcBorders>
              <w:bottom w:val="single" w:sz="6"/>
            </w:tcBorders>
          </w:tcPr>
          <w:p>
            <w:r>
              <w:rPr>
                <w:b/>
              </w:rPr>
              <w:t>策略</w:t>
            </w:r>
          </w:p>
        </w:tc>
        <w:tc>
          <w:tcPr>
            <w:tcW w:type="dxa" w:w="2074"/>
            <w:tcBorders>
              <w:bottom w:val="single" w:sz="6"/>
            </w:tcBorders>
          </w:tcPr>
          <w:p>
            <w:r>
              <w:rPr>
                <w:b/>
              </w:rPr>
              <w:t>原反馈速度</w:t>
              <w:br/>
              <w:t>峰峰值 mm/s</w:t>
            </w:r>
          </w:p>
        </w:tc>
        <w:tc>
          <w:tcPr>
            <w:tcW w:type="dxa" w:w="2074"/>
            <w:tcBorders>
              <w:bottom w:val="single" w:sz="6"/>
            </w:tcBorders>
          </w:tcPr>
          <w:p>
            <w:r>
              <w:rPr>
                <w:b/>
              </w:rPr>
              <w:t>原反馈电压</w:t>
              <w:br/>
              <w:t>峰峰值 V</w:t>
            </w:r>
          </w:p>
        </w:tc>
        <w:tc>
          <w:tcPr>
            <w:tcW w:type="dxa" w:w="2074"/>
            <w:tcBorders>
              <w:bottom w:val="single" w:sz="6"/>
            </w:tcBorders>
          </w:tcPr>
          <w:p>
            <w:r>
              <w:rPr>
                <w:b/>
              </w:rPr>
              <w:t>关闭全部反馈速度</w:t>
              <w:br/>
              <w:t>峰峰值 mm/s</w:t>
            </w:r>
          </w:p>
        </w:tc>
        <w:tc>
          <w:tcPr>
            <w:tcW w:type="dxa" w:w="2074"/>
            <w:tcBorders>
              <w:bottom w:val="single" w:sz="6"/>
            </w:tcBorders>
          </w:tcPr>
          <w:p>
            <w:r>
              <w:rPr>
                <w:b/>
              </w:rPr>
              <w:t>有效估计频率</w:t>
              <w:br/>
              <w:t>/ Hz</w:t>
            </w:r>
          </w:p>
        </w:tc>
      </w:tr>
      <w:tr>
        <w:tc>
          <w:tcPr>
            <w:tcW w:type="dxa" w:w="2074"/>
          </w:tcPr>
          <w:p>
            <w:r>
              <w:t>A 欠补偿</w:t>
            </w:r>
          </w:p>
        </w:tc>
        <w:tc>
          <w:tcPr>
            <w:tcW w:type="dxa" w:w="2074"/>
          </w:tcPr>
          <w:p>
            <w:r>
              <w:t>2.923e-35</w:t>
            </w:r>
          </w:p>
        </w:tc>
        <w:tc>
          <w:tcPr>
            <w:tcW w:type="dxa" w:w="2074"/>
          </w:tcPr>
          <w:p>
            <w:r>
              <w:t>0.000000</w:t>
            </w:r>
          </w:p>
        </w:tc>
        <w:tc>
          <w:tcPr>
            <w:tcW w:type="dxa" w:w="2074"/>
          </w:tcPr>
          <w:p>
            <w:r>
              <w:t>2.923e-35</w:t>
            </w:r>
          </w:p>
        </w:tc>
        <w:tc>
          <w:tcPr>
            <w:tcW w:type="dxa" w:w="2074"/>
          </w:tcPr>
          <w:p>
            <w:r>
              <w:t>不报告</w:t>
            </w:r>
          </w:p>
        </w:tc>
      </w:tr>
      <w:tr>
        <w:tc>
          <w:tcPr>
            <w:tcW w:type="dxa" w:w="2074"/>
          </w:tcPr>
          <w:p>
            <w:r>
              <w:t>B 硬过补偿</w:t>
            </w:r>
          </w:p>
        </w:tc>
        <w:tc>
          <w:tcPr>
            <w:tcW w:type="dxa" w:w="2074"/>
          </w:tcPr>
          <w:p>
            <w:r>
              <w:t>0.586951</w:t>
            </w:r>
          </w:p>
        </w:tc>
        <w:tc>
          <w:tcPr>
            <w:tcW w:type="dxa" w:w="2074"/>
          </w:tcPr>
          <w:p>
            <w:r>
              <w:t>1.754418</w:t>
            </w:r>
          </w:p>
        </w:tc>
        <w:tc>
          <w:tcPr>
            <w:tcW w:type="dxa" w:w="2074"/>
          </w:tcPr>
          <w:p>
            <w:r>
              <w:t>8.571e-34</w:t>
            </w:r>
          </w:p>
        </w:tc>
        <w:tc>
          <w:tcPr>
            <w:tcW w:type="dxa" w:w="2074"/>
          </w:tcPr>
          <w:p>
            <w:r>
              <w:t>142.86</w:t>
            </w:r>
          </w:p>
        </w:tc>
      </w:tr>
      <w:tr>
        <w:tc>
          <w:tcPr>
            <w:tcW w:type="dxa" w:w="2074"/>
          </w:tcPr>
          <w:p>
            <w:r>
              <w:t>C tanh 光滑补偿</w:t>
            </w:r>
          </w:p>
        </w:tc>
        <w:tc>
          <w:tcPr>
            <w:tcW w:type="dxa" w:w="2074"/>
          </w:tcPr>
          <w:p>
            <w:r>
              <w:t>3.897e-34</w:t>
            </w:r>
          </w:p>
        </w:tc>
        <w:tc>
          <w:tcPr>
            <w:tcW w:type="dxa" w:w="2074"/>
          </w:tcPr>
          <w:p>
            <w:r>
              <w:t>1.661e-34</w:t>
            </w:r>
          </w:p>
        </w:tc>
        <w:tc>
          <w:tcPr>
            <w:tcW w:type="dxa" w:w="2074"/>
          </w:tcPr>
          <w:p>
            <w:r>
              <w:t>3.897e-34</w:t>
            </w:r>
          </w:p>
        </w:tc>
        <w:tc>
          <w:tcPr>
            <w:tcW w:type="dxa" w:w="2074"/>
          </w:tcPr>
          <w:p>
            <w:r>
              <w:t>不报告</w:t>
            </w:r>
          </w:p>
        </w:tc>
      </w:tr>
    </w:tbl>
    <w:p>
      <w:r>
        <w:t>硬过补偿前一等长窗口速度峰峰值为 0.586951 mm/s，末段/前段幅值比为 1.0000。以相邻窗口幅值比较区分持续小幅运动与单次换向后逐渐衰减的振铃。</w:t>
      </w:r>
    </w:p>
    <w:p>
      <w:r>
        <w:t>硬过补偿末段记录速度过零 29 次、完整同向上穿周期 13 个。频率仅在速度幅度有诊断意义且至少存在两次同向上穿时估计；采用同向插值过零周期的中位数，而不是把单次脉冲频谱当振荡频率。该保持试验与无反馈反事实共同检验本采样等效模型的小幅极限环，不能推断任意液压对象的固有模态或全局稳定性。</w:t>
      </w:r>
    </w:p>
    <w:tbl>
      <w:tblPr>
        <w:tblW w:type="auto" w:w="0"/>
        <w:tblLayout w:type="autofit"/>
        <w:tblLook w:firstColumn="1" w:firstRow="1" w:lastColumn="0" w:lastRow="0" w:noHBand="0" w:noVBand="1" w:val="04A0"/>
        <w:tblBorders>
          <w:top w:val="single" w:sz="8" w:color="555555"/>
          <w:bottom w:val="single" w:sz="8" w:color="555555"/>
          <w:left w:val="nil" w:sz="8" w:color="555555"/>
          <w:right w:val="nil" w:sz="8" w:color="555555"/>
          <w:insideH w:val="nil" w:sz="8" w:color="555555"/>
          <w:insideV w:val="nil" w:sz="8" w:color="555555"/>
        </w:tblBorders>
      </w:tblPr>
      <w:tblGrid>
        <w:gridCol w:w="3456"/>
        <w:gridCol w:w="3456"/>
        <w:gridCol w:w="3456"/>
      </w:tblGrid>
      <w:tr>
        <w:tc>
          <w:tcPr>
            <w:tcW w:type="dxa" w:w="3456"/>
            <w:tcBorders>
              <w:bottom w:val="single" w:sz="6"/>
            </w:tcBorders>
          </w:tcPr>
          <w:p>
            <w:r>
              <w:rPr>
                <w:b/>
              </w:rPr>
              <w:t>β</w:t>
            </w:r>
          </w:p>
        </w:tc>
        <w:tc>
          <w:tcPr>
            <w:tcW w:type="dxa" w:w="3456"/>
            <w:tcBorders>
              <w:bottom w:val="single" w:sz="6"/>
            </w:tcBorders>
          </w:tcPr>
          <w:p>
            <w:r>
              <w:rPr>
                <w:b/>
              </w:rPr>
              <w:t>零参考末段速度峰峰值 / mm/s</w:t>
            </w:r>
          </w:p>
        </w:tc>
        <w:tc>
          <w:tcPr>
            <w:tcW w:type="dxa" w:w="3456"/>
            <w:tcBorders>
              <w:bottom w:val="single" w:sz="6"/>
            </w:tcBorders>
          </w:tcPr>
          <w:p>
            <w:r>
              <w:rPr>
                <w:b/>
              </w:rPr>
              <w:t>末段振荡频率 / Hz</w:t>
            </w:r>
          </w:p>
        </w:tc>
      </w:tr>
      <w:tr>
        <w:tc>
          <w:tcPr>
            <w:tcW w:type="dxa" w:w="3456"/>
          </w:tcPr>
          <w:p>
            <w:r>
              <w:t>5</w:t>
            </w:r>
          </w:p>
        </w:tc>
        <w:tc>
          <w:tcPr>
            <w:tcW w:type="dxa" w:w="3456"/>
          </w:tcPr>
          <w:p>
            <w:r>
              <w:t>2.803e-35</w:t>
            </w:r>
          </w:p>
        </w:tc>
        <w:tc>
          <w:tcPr>
            <w:tcW w:type="dxa" w:w="3456"/>
          </w:tcPr>
          <w:p>
            <w:r>
              <w:t>不报告</w:t>
            </w:r>
          </w:p>
        </w:tc>
      </w:tr>
      <w:tr>
        <w:tc>
          <w:tcPr>
            <w:tcW w:type="dxa" w:w="3456"/>
          </w:tcPr>
          <w:p>
            <w:r>
              <w:t>18</w:t>
            </w:r>
          </w:p>
        </w:tc>
        <w:tc>
          <w:tcPr>
            <w:tcW w:type="dxa" w:w="3456"/>
          </w:tcPr>
          <w:p>
            <w:r>
              <w:t>3.897e-34</w:t>
            </w:r>
          </w:p>
        </w:tc>
        <w:tc>
          <w:tcPr>
            <w:tcW w:type="dxa" w:w="3456"/>
          </w:tcPr>
          <w:p>
            <w:r>
              <w:t>不报告</w:t>
            </w:r>
          </w:p>
        </w:tc>
      </w:tr>
      <w:tr>
        <w:tc>
          <w:tcPr>
            <w:tcW w:type="dxa" w:w="3456"/>
          </w:tcPr>
          <w:p>
            <w:r>
              <w:t>50</w:t>
            </w:r>
          </w:p>
        </w:tc>
        <w:tc>
          <w:tcPr>
            <w:tcW w:type="dxa" w:w="3456"/>
          </w:tcPr>
          <w:p>
            <w:r>
              <w:t>0.572373</w:t>
            </w:r>
          </w:p>
        </w:tc>
        <w:tc>
          <w:tcPr>
            <w:tcW w:type="dxa" w:w="3456"/>
          </w:tcPr>
          <w:p>
            <w:r>
              <w:t>142.86</w:t>
            </w:r>
          </w:p>
        </w:tc>
      </w:tr>
    </w:tbl>
    <w:p>
      <w:r>
        <w:t>补充试验检查状态：全部通过；条件及原始记录见 outputs/robustness.json。</w:t>
      </w:r>
    </w:p>
    <w:p>
      <w:pPr>
        <w:pStyle w:val="Heading1"/>
      </w:pPr>
      <w:r>
        <w:t>5. 验证与复现</w:t>
      </w:r>
    </w:p>
    <w:p>
      <w:r>
        <w:t>本次数据与机制检查：全部通过，共 51 项。另有 14 项单元测试通过，日志见 outputs/unit_tests.txt。输入死区对象的解析推进以独立高精度 ODE 和半步等价验证；误差缓存、滤波零 DC 增益、保持段记忆连续及完整停反馈均单独检查。</w:t>
      </w:r>
    </w:p>
    <w:p>
      <w:r>
        <w:t>运行：python -m pip install -r requirements.txt；python work_6_3.py；python -m unittest -v test_work_6_3.py；python package_delivery.py。CSV状态记录在当前指令作用前，u及D(u)作用于下一个Ts区间。全部代码、配置、PPT、原始CSV、报告和唯一PNG均在ZIP内，manifest列SHA256。</w:t>
      </w:r>
    </w:p>
    <w:p>
      <w:r>
        <w:t>图中三类失配现象均由公开参数下的课堂等效模型计算，示意图数值及波纹周期不作为硬编码目标。该模型不是完整双腔数字孪生或设备辨识结论；压力安全和全局稳定性不在本实验验证范围内。</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