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[[TEXT:text1]] </w:t>
      </w:r>
      <w:r>
        <w:drawing>
          <wp:inline xmlns:a="http://schemas.openxmlformats.org/drawingml/2006/main" xmlns:pic="http://schemas.openxmlformats.org/drawingml/2006/picture">
            <wp:extent cx="18288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). [[TEXT:text3]]Today is  a good day  because  today is [[TEXT:text2]]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18288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foo1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). [[TEXT:text3]]Today is [[IF:condition1]] a good day [[ELSE]] a bad day [[ENDIF]] because [[IF:condition1]] today is Bar [[ELSE]] the month is Bar [[ENDIF]]</w:t>
            </w:r>
          </w:p>
        </w:tc>
        <w:tc>
          <w:tcPr>
            <w:tcW w:w="3117" w:type="dxa"/>
          </w:tcPr>
          <w:p>
            <w:r>
              <w:t xml:space="preserve">This is the third Word document. foo1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  <w:tc>
          <w:tcPr>
            <w:tcW w:w="3117" w:type="dxa"/>
          </w:tcPr>
          <w:p>
            <w:r>
              <w:t xml:space="preserve">This is the third Word document. foo1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foo1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good day  because  today is [[TEXT:text2]]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