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24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COVER LETTER</w:t>
      </w:r>
    </w:p>
    <w:p>
      <w:pPr>
        <w:spacing w:after="60" w:before="120" w:line="300"/>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300"/>
        <w:jc w:val="left"/>
      </w:pPr>
      <w:r>
        <w:rPr>
          <w:rFonts w:ascii="Calibri" w:cs="Calibri" w:eastAsia="Calibri" w:hAnsi="Calibri"/>
        </w:rPr>
        <w:t>Kind Attn: {{poc_name}} ({{poc_designation}})</w:t>
      </w:r>
    </w:p>
    <w:p>
      <w:pPr>
        <w:spacing w:after="60" w:before="0" w:line="300"/>
        <w:jc w:val="left"/>
      </w:pPr>
      <w:r>
        <w:rPr>
          <w:rFonts w:ascii="Calibri" w:cs="Calibri" w:eastAsia="Calibri" w:hAnsi="Calibri"/>
        </w:rPr>
        <w:t xml:space="preserve">{{company_address}}</w:t>
      </w:r>
    </w:p>
    <w:p>
      <w:pPr>
        <w:spacing w:after="60" w:before="0" w:line="300"/>
        <w:jc w:val="left"/>
      </w:pPr>
      <w:r>
        <w:rPr>
          <w:rFonts w:ascii="Calibri" w:cs="Calibri" w:eastAsia="Calibri" w:hAnsi="Calibri"/>
        </w:rPr>
        <w:t>Contact No.: {{mobile_no}}</w:t>
      </w:r>
    </w:p>
    <w:p>
      <w:pPr>
        <w:spacing w:after="200" w:before="0" w:line="300"/>
        <w:jc w:val="left"/>
      </w:pPr>
      <w:r>
        <w:rPr>
          <w:rFonts w:ascii="Calibri" w:cs="Calibri" w:eastAsia="Calibri" w:hAnsi="Calibri"/>
          <w:sz w:val="22"/>
          <w:szCs w:val="22"/>
        </w:rPr>
        <w:t>Email: {{email}}</w:t>
      </w:r>
    </w:p>
    <w:p>
      <w:pPr>
        <w:spacing w:after="160" w:before="160"/>
      </w:pPr>
      <w:r>
        <w:t xml:space="preserve"/>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300"/>
        <w:jc w:val="left"/>
      </w:pPr>
      <w:r>
        <w:rPr>
          <w:rFonts w:ascii="Calibri" w:cs="Calibri" w:eastAsia="Calibri" w:hAnsi="Calibri"/>
        </w:rPr>
        <w:t xml:space="preserve">Dear Sir,</w:t>
      </w:r>
    </w:p>
    <w:p>
      <w:pPr>
        <w:spacing w:after="160" w:before="0" w:line="300"/>
        <w:jc w:val="left"/>
      </w:pPr>
      <w:r>
        <w:rPr>
          <w:rFonts w:ascii="Calibri" w:cs="Calibri" w:eastAsia="Calibri" w:hAnsi="Calibri"/>
        </w:rPr>
        <w:t>This is with reference to your enquiry for {{project_name}} as per the technical specifications shared.</w:t>
      </w:r>
    </w:p>
    <w:p>
      <w:pPr>
        <w:spacing w:after="160" w:before="0" w:line="300"/>
        <w:jc w:val="left"/>
      </w:pPr>
      <w:r>
        <w:rPr>
          <w:rFonts w:ascii="Calibri" w:cs="Calibri" w:eastAsia="Calibri" w:hAnsi="Calibri"/>
        </w:rPr>
        <w:t>We are pleased to enclose herewith our most competitive and comprehensive offer for the same for your kind perusal.</w:t>
      </w:r>
    </w:p>
    <w:p>
      <w:pPr>
        <w:spacing w:after="320" w:before="0" w:line="300"/>
        <w:jc w:val="left"/>
      </w:pPr>
      <w:r>
        <w:rPr>
          <w:rFonts w:ascii="Calibri" w:cs="Calibri" w:eastAsia="Calibri" w:hAnsi="Calibri"/>
        </w:rPr>
        <w:t xml:space="preserve">Though we have endeavored to make the offer self-explanatory, please feel free to contact us should you require any clarification or additional information.</w:t>
      </w:r>
    </w:p>
    <w:p>
      <w:pPr>
        <w:spacing w:after="40" w:before="0" w:line="300"/>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300"/>
        <w:jc w:val="left"/>
      </w:pPr>
      <w:r>
        <w:rPr>
          <w:rFonts w:ascii="Calibri" w:cs="Calibri" w:eastAsia="Calibri" w:hAnsi="Calibri"/>
        </w:rPr>
        <w:t xml:space="preserve">ENCON Thermal Engineers Pvt. Ltd.</w:t>
      </w:r>
    </w:p>
    <w:p>
      <w:pPr>
        <w:spacing w:after="0" w:before="0" w:line="300"/>
        <w:jc w:val="left"/>
      </w:pPr>
      <w:r>
        <w:rPr>
          <w:rFonts w:ascii="Calibri" w:cs="Calibri" w:eastAsia="Calibri" w:hAnsi="Calibri"/>
          <w:sz w:val="22"/>
          <w:szCs w:val="22"/>
        </w:rPr>
        <w:t>Mob: {{technical_phone}}</w:t>
      </w:r>
    </w:p>
    <w:p>
      <w:pPr>
        <w:spacing w:after="320" w:before="0" w:line="300"/>
        <w:jc w:val="left"/>
      </w:pPr>
      <w:r>
        <w:rPr>
          <w:rFonts w:ascii="Calibri" w:cs="Calibri" w:eastAsia="Calibri" w:hAnsi="Calibri"/>
          <w:sz w:val="22"/>
          <w:szCs w:val="22"/>
        </w:rPr>
        <w:t>Email: {{technical_email}}   |   www.encon.co.in</w:t>
      </w:r>
      <w:r>
        <w:rPr>
          <w:rFonts w:ascii="Calibri" w:cs="Calibri" w:eastAsia="Calibri" w:hAnsi="Calibri"/>
          <w:color w:val="6B7280"/>
          <w:sz w:val="22"/>
          <w:szCs w:val="22"/>
        </w:rPr>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COMPANY PROFILE</w:t>
      </w:r>
    </w:p>
    <w:p>
      <w:pPr>
        <w:pStyle w:val="Heading2"/>
        <w:spacing w:after="120" w:before="280"/>
      </w:pPr>
      <w:r>
        <w:rPr>
          <w:rFonts w:ascii="Calibri" w:cs="Calibri" w:eastAsia="Calibri" w:hAnsi="Calibri"/>
          <w:b/>
          <w:bCs/>
          <w:color w:val="E87722"/>
          <w:sz w:val="26"/>
          <w:szCs w:val="26"/>
        </w:rPr>
        <w:t>ABOUT US</w:t>
      </w:r>
    </w:p>
    <w:p>
      <w:pPr>
        <w:spacing w:after="160" w:before="60" w:line="300"/>
        <w:jc w:val="left"/>
      </w:pPr>
      <w:r>
        <w:rPr>
          <w:rFonts w:ascii="Calibri" w:cs="Calibri" w:eastAsia="Calibri" w:hAnsi="Calibri"/>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spacing w:after="200" w:before="60" w:line="300"/>
        <w:jc w:val="left"/>
      </w:pPr>
      <w:r>
        <w:rPr>
          <w:rFonts w:ascii="Calibri" w:cs="Calibri" w:eastAsia="Calibri" w:hAnsi="Calibri"/>
        </w:rPr>
        <w:t xml:space="preserve">We are well known for designing, manufacturing, supplying, and commissioning fuel-efficient heating systems on a turnkey basis.</w:t>
      </w:r>
    </w:p>
    <w:p>
      <w:pPr>
        <w:pStyle w:val="Heading2"/>
        <w:spacing w:after="120" w:before="280"/>
      </w:pPr>
      <w:r>
        <w:rPr>
          <w:rFonts w:ascii="Calibri" w:cs="Calibri" w:eastAsia="Calibri" w:hAnsi="Calibri"/>
          <w:b/>
          <w:bCs/>
          <w:color w:val="E87722"/>
          <w:sz w:val="26"/>
          <w:szCs w:val="26"/>
        </w:rPr>
        <w:t>INDUSTRIES WE SERVE</w:t>
      </w:r>
    </w:p>
    <w:p>
      <w:pPr>
        <w:spacing w:after="200" w:before="60" w:line="300"/>
        <w:jc w:val="left"/>
      </w:pPr>
      <w:r>
        <w:rPr>
          <w:rFonts w:ascii="Calibri" w:cs="Calibri" w:eastAsia="Calibri" w:hAnsi="Calibri"/>
          <w:i/>
          <w:iCs/>
          <w:color w:val="6B7280"/>
        </w:rPr>
        <w:t xml:space="preserve">Iron &amp; Steel  •  Automotive  •  Foundries  •  Aluminium  •  Glass  •  Cement  •  Pharmaceutical  •  Heat Treatment</w:t>
      </w:r>
    </w:p>
    <w:p>
      <w:pPr>
        <w:pStyle w:val="Heading2"/>
        <w:spacing w:after="120" w:before="280"/>
      </w:pPr>
      <w:r>
        <w:rPr>
          <w:rFonts w:ascii="Calibri" w:cs="Calibri" w:eastAsia="Calibri" w:hAnsi="Calibri"/>
          <w:b/>
          <w:bCs/>
          <w:color w:val="E87722"/>
          <w:sz w:val="26"/>
          <w:szCs w:val="26"/>
        </w:rPr>
        <w:t>SOME OF OUR ESTEEMED CLIENTS</w:t>
      </w:r>
    </w:p>
    <w:p>
      <w:pPr>
        <w:spacing w:after="200" w:before="60" w:line="300"/>
        <w:jc w:val="left"/>
      </w:pPr>
      <w:r>
        <w:rPr>
          <w:rFonts w:ascii="Calibri" w:cs="Calibri" w:eastAsia="Calibri" w:hAnsi="Calibri"/>
        </w:rPr>
        <w:t>ENCON has built lasting partnerships with leading names across the steel, casting, and process industries.</w:t>
      </w:r>
    </w:p>
    <w:p>
      <w:pPr>
        <w:pStyle w:val="Heading2"/>
        <w:spacing w:after="120" w:before="280"/>
      </w:pPr>
      <w:r>
        <w:rPr>
          <w:rFonts w:ascii="Calibri" w:cs="Calibri" w:eastAsia="Calibri" w:hAnsi="Calibri"/>
          <w:b/>
          <w:bCs/>
          <w:color w:val="E87722"/>
          <w:sz w:val="26"/>
          <w:szCs w:val="26"/>
        </w:rPr>
        <w:t>RESEARCH &amp; DEVELOPMENT</w:t>
      </w:r>
    </w:p>
    <w:p>
      <w:pPr>
        <w:spacing w:after="160" w:before="60" w:line="300"/>
        <w:jc w:val="left"/>
      </w:pPr>
      <w:r>
        <w:rPr>
          <w:rFonts w:ascii="Calibri" w:cs="Calibri" w:eastAsia="Calibri" w:hAnsi="Calibri"/>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spacing w:after="200" w:before="60" w:line="300"/>
        <w:jc w:val="left"/>
      </w:pPr>
      <w:r>
        <w:rPr>
          <w:rFonts w:ascii="Calibri" w:cs="Calibri" w:eastAsia="Calibri" w:hAnsi="Calibri"/>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spacing w:after="120" w:before="280"/>
      </w:pPr>
      <w:r>
        <w:rPr>
          <w:rFonts w:ascii="Calibri" w:cs="Calibri" w:eastAsia="Calibri" w:hAnsi="Calibri"/>
          <w:b/>
          <w:bCs/>
          <w:color w:val="E87722"/>
          <w:sz w:val="26"/>
          <w:szCs w:val="26"/>
        </w:rPr>
        <w:t>OUR COMMITMENT</w:t>
      </w:r>
    </w:p>
    <w:p>
      <w:pPr>
        <w:spacing w:after="160" w:before="60" w:line="300"/>
        <w:jc w:val="left"/>
      </w:pPr>
      <w:r>
        <w:rPr>
          <w:rFonts w:ascii="Calibri" w:cs="Calibri" w:eastAsia="Calibri" w:hAnsi="Calibri"/>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spacing w:after="200" w:before="60" w:line="300"/>
        <w:jc w:val="left"/>
      </w:pPr>
      <w:r>
        <w:rPr>
          <w:rFonts w:ascii="Calibri" w:cs="Calibri" w:eastAsia="Calibri" w:hAnsi="Calibri"/>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spacing w:after="120" w:before="280"/>
      </w:pPr>
      <w:r>
        <w:rPr>
          <w:rFonts w:ascii="Calibri" w:cs="Calibri" w:eastAsia="Calibri" w:hAnsi="Calibri"/>
          <w:b/>
          <w:bCs/>
          <w:color w:val="E87722"/>
          <w:sz w:val="26"/>
          <w:szCs w:val="26"/>
        </w:rPr>
        <w:t>ENCON’S GLOBAL PRESENCE</w:t>
      </w:r>
    </w:p>
    <w:p>
      <w:pPr>
        <w:spacing w:after="200" w:before="60" w:line="300"/>
        <w:jc w:val="left"/>
      </w:pPr>
      <w:r>
        <w:rPr>
          <w:rFonts w:ascii="Calibri" w:cs="Calibri" w:eastAsia="Calibri" w:hAnsi="Calibri"/>
        </w:rPr>
        <w:t xml:space="preserve">With installations across India, the Middle East, and South-East Asia, ENCON serves a global customer base — backed by responsive after-sales support and a worldwide network of partners.</w:t>
      </w:r>
    </w:p>
    <ns0:p xmlns:ns0="http://schemas.openxmlformats.org/wordprocessingml/2006/main" xmlns:ns1="http://schemas.microsoft.com/office/word/2010/wordml" xmlns:ns2="http://schemas.openxmlformats.org/drawingml/2006/wordprocessingDrawing" xmlns:ns3="http://schemas.microsoft.com/office/word/2010/wordprocessingDrawing" xmlns:ns4="http://schemas.openxmlformats.org/drawingml/2006/main" xmlns:ns5="http://schemas.openxmlformats.org/drawingml/2006/picture" xmlns:ns6="http://schemas.openxmlformats.org/officeDocument/2006/relationships" ns1:paraId="0B67A015" ns1:textId="77777777" ns0:rsidR="009C3D95" ns0:rsidRDefault="00000000">
      <ns0:pPr>
        <ns0:pBdr>
          <ns0:top ns0:val="nil"/>
          <ns0:left ns0:val="nil"/>
          <ns0:bottom ns0:val="nil"/>
          <ns0:right ns0:val="nil"/>
          <ns0:between ns0:val="nil"/>
        </ns0:pBdr>
        <ns0:spacing ns0:before="163"/>
        <ns0:jc ns0:val="left"/>
        <ns0:rPr>
          <ns0:color ns0:val="000000"/>
          <ns0:sz ns0:val="20"/>
          <ns0:szCs ns0:val="20"/>
        </ns0:rPr>
        <ns0:sectPr ns0:rsidR="009C3D95">
          <ns0:footerReference ns0:type="default" ns6:id="rId12"/>
          <ns0:pgSz ns0:w="11906" ns0:h="16838"/>
          <ns0:pgMar ns0:top="1440" ns0:right="1083" ns0:bottom="1440" ns0:left="1083" ns0:header="0" ns0:footer="1341" ns0:gutter="0"/>
          <ns0:cols ns0:space="720"/>
        </ns0:sectPr>
      </ns0:pPr>
      <ns0:r>
        <ns0:rPr>
          <ns0:noProof/>
        </ns0:rPr>
        <ns0:drawing>
          <ns2:anchor distT="0" distB="0" distL="0" distR="0" simplePos="0" relativeHeight="251682816" behindDoc="0" locked="0" layoutInCell="1" hidden="0" allowOverlap="1" ns3:anchorId="14434975" ns3:editId="7465BD3B">
            <ns2:simplePos x="0" y="0"/>
            <ns2:positionH relativeFrom="column">
              <ns2:align>left</ns2:align>
            </ns2:positionH>
            <ns2:positionV relativeFrom="paragraph">
              <ns2:posOffset>262890</ns2:posOffset>
            </ns2:positionV>
            <ns2:extent cx="6165215" cy="3194050"/>
            <ns2:effectExtent l="0" t="0" r="0" b="0"/>
            <ns2:wrapTopAndBottom distT="0" distB="0"/>
            <ns2:docPr id="909070903" name="image22.jpg"/>
            <ns2:cNvGraphicFramePr/>
            <ns4:graphic>
              <ns4:graphicData uri="http://schemas.openxmlformats.org/drawingml/2006/picture">
                <ns5:pic>
                  <ns5:nvPicPr>
                    <ns5:cNvPr id="0" name="image22.jpg"/>
                    <ns5:cNvPicPr preferRelativeResize="0"/>
                  </ns5:nvPicPr>
                  <ns5:blipFill>
                    <ns4:blip ns6:embed="rId16"/>
                    <ns4:srcRect/>
                    <ns4:stretch>
                      <ns4:fillRect/>
                    </ns4:stretch>
                  </ns5:blipFill>
                  <ns5:spPr>
                    <ns4:xfrm>
                      <ns4:off x="0" y="0"/>
                      <ns4:ext cx="6165215" cy="3194050"/>
                    </ns4:xfrm>
                    <ns4:prstGeom prst="rect">
                      <ns4:avLst/>
                    </ns4:prstGeom>
                    <ns4:ln/>
                  </ns5:spPr>
                </ns5:pic>
              </ns4:graphicData>
            </ns4:graphic>
          </ns2:anchor>
        </ns0:drawing>
      </ns0:r>
    </ns0:p>
    <w:p>
      <w:pPr>
        <w:pStyle w:val="Heading1"/>
        <w:pBdr>
          <w:bottom w:val="single" w:color="E87722" w:sz="12" w:space="4"/>
        </w:pBdr>
        <w:spacing w:after="200" w:before="360"/>
      </w:pPr>
      <w:r>
        <w:rPr>
          <w:rFonts w:ascii="Calibri" w:cs="Calibri" w:eastAsia="Calibri" w:hAnsi="Calibri"/>
          <w:b/>
          <w:bCs/>
          <w:color w:val="1F2937"/>
          <w:sz w:val="32"/>
          <w:szCs w:val="32"/>
        </w:rPr>
        <w:t>2.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3. TECHNICAL SPECIFICATIONS</w:t>
      </w:r>
    </w:p>
    <w:p>
      <w:pPr>
        <w:pStyle w:val="Heading2"/>
        <w:spacing w:after="120" w:before="280"/>
      </w:pPr>
      <w:r>
        <w:rPr>
          <w:rFonts w:ascii="Calibri" w:cs="Calibri" w:eastAsia="Calibri" w:hAnsi="Calibri"/>
          <w:b/>
          <w:bCs/>
          <w:color w:val="E87722"/>
          <w:sz w:val="26"/>
          <w:szCs w:val="26"/>
        </w:rPr>
        <w:t xml:space="preserve">HEATING AND PUMPING UNIT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936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r>
              <w:rPr>
                <w:b/>
              </w:rPr>
              <w:t>HPU Specifications</w:t>
            </w:r>
          </w:p>
          <w:p>
            <w:r>
              <w:rPr>
                <w:b/>
              </w:rPr>
            </w:r>
          </w:p>
        </w:tc>
      </w:tr>
      <w:tr>
        <w:tc>
          <w:tcPr>
            <w:tcW w:type="dxa" w:w="3744"/>
          </w:tcPr>
          <w:p>
            <w:r>
              <w:t>Equipment</w:t>
            </w:r>
          </w:p>
        </w:tc>
        <w:tc>
          <w:tcPr>
            <w:tcW w:type="dxa" w:w="5616"/>
          </w:tcPr>
          <w:p>
            <w:r>
              <w:t>{{ equipment_name }}</w:t>
            </w:r>
          </w:p>
        </w:tc>
      </w:tr>
      <w:tr>
        <w:tc>
          <w:tcPr>
            <w:tcW w:type="dxa" w:w="3744"/>
          </w:tcPr>
          <w:p>
            <w:r>
              <w:t>Variant</w:t>
            </w:r>
          </w:p>
        </w:tc>
        <w:tc>
          <w:tcPr>
            <w:tcW w:type="dxa" w:w="5616"/>
          </w:tcPr>
          <w:p>
            <w:r>
              <w:t>{{ hpu_variant }}</w:t>
            </w:r>
          </w:p>
        </w:tc>
      </w:tr>
      <w:tr>
        <w:tc>
          <w:tcPr>
            <w:tcW w:type="dxa" w:w="3744"/>
          </w:tcPr>
          <w:p>
            <w:r>
              <w:t>Motor Capacity</w:t>
            </w:r>
          </w:p>
        </w:tc>
        <w:tc>
          <w:tcPr>
            <w:tcW w:type="dxa" w:w="5616"/>
          </w:tcPr>
          <w:p>
            <w:r>
              <w:t>{{ hpu_kw }} kW</w:t>
            </w:r>
          </w:p>
        </w:tc>
      </w:tr>
      <w:tr>
        <w:tc>
          <w:tcPr>
            <w:tcW w:type="dxa" w:w="3744"/>
          </w:tcPr>
          <w:p>
            <w:r>
              <w:t>Oil Flow Rate</w:t>
            </w:r>
          </w:p>
        </w:tc>
        <w:tc>
          <w:tcPr>
            <w:tcW w:type="dxa" w:w="5616"/>
          </w:tcPr>
          <w:p>
            <w:r>
              <w:t>{{ hpu_lph }} LPH</w:t>
            </w:r>
          </w:p>
        </w:tc>
      </w:tr>
      <w:tr>
        <w:tc>
          <w:tcPr>
            <w:tcW w:type="dxa" w:w="3744"/>
          </w:tcPr>
          <w:p>
            <w:r>
              <w:t>Quantity</w:t>
            </w:r>
          </w:p>
        </w:tc>
        <w:tc>
          <w:tcPr>
            <w:tcW w:type="dxa" w:w="5616"/>
          </w:tcPr>
          <w:p>
            <w:r>
              <w:t>{{ hpu_qty }} No.</w:t>
            </w:r>
          </w:p>
        </w:tc>
      </w:tr>
    </w:tbl>
    <w:p>
      <w:pPr>
        <w:spacing w:after="200" w:before="200"/>
      </w:pPr>
      <w:r>
        <w:t xml:space="preserve"/>
      </w:r>
    </w:p>
    <w:p>
      <w:pPr>
        <w:pStyle w:val="Heading1"/>
        <w:pBdr>
          <w:bottom w:val="single" w:color="E87722" w:sz="12" w:space="4"/>
        </w:pBdr>
        <w:spacing w:after="200" w:before="360"/>
      </w:pPr>
      <w:r>
        <w:rPr>
          <w:rFonts w:ascii="Calibri" w:cs="Calibri" w:eastAsia="Calibri" w:hAnsi="Calibri"/>
          <w:b/>
          <w:bCs/>
          <w:color w:val="1F2937"/>
          <w:sz w:val="32"/>
          <w:szCs w:val="32"/>
        </w:rPr>
        <w:t>ANNEXURE I — SCOPE OF SUPPLY: HEATING AND PUMPING UNIT</w:t>
      </w:r>
    </w:p>
    <w:p>
      <w:pPr>
        <w:spacing w:after="160" w:before="60" w:line="300"/>
        <w:jc w:val="left"/>
      </w:pPr>
      <w:r>
        <w:rPr>
          <w:rFonts w:ascii="Calibri" w:cs="Calibri" w:eastAsia="Calibri" w:hAnsi="Calibri"/>
        </w:rPr>
        <w:t xml:space="preserve">The Scope of supply covers Design, manufacturing and supply of the Heating and Pumping Unit.</w:t>
      </w:r>
    </w:p>
    <w:p>
      <w:pPr>
        <w:pStyle w:val="Heading1"/>
        <w:pBdr>
          <w:bottom w:val="single" w:color="E87722" w:sz="12" w:space="4"/>
        </w:pBdr>
        <w:spacing w:after="200" w:before="360"/>
      </w:pPr>
      <w:r>
        <w:rPr>
          <w:rFonts w:ascii="Calibri" w:cs="Calibri" w:eastAsia="Calibri" w:hAnsi="Calibri"/>
          <w:b/>
          <w:bCs/>
          <w:color w:val="1F2937"/>
          <w:sz w:val="32"/>
          <w:szCs w:val="32"/>
        </w:rPr>
        <w:t>ANNEXURE 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rHeight w:val="425" w:hRule="atLeast"/>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rPr>
          <w:trHeight w:val="425" w:hRule="atLeast"/>
        </w:trP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{{equipment_name}}</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{{total_price_vertical}}</w:t>
            </w:r>
          </w:p>
        </w:tc>
      </w:tr>
      <w:tr>
        <w:trPr>
          <w:trHeight w:val="425" w:hRule="atLeast"/>
        </w:trP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total_price_vertical }}</w:t>
            </w:r>
          </w:p>
        </w:tc>
      </w:tr>
    </w:tbl>
    <w:p>
      <w:pPr>
        <w:spacing w:before="240" w:after="0"/>
      </w:pPr>
    </w:p>
    <w:p>
      <w:pPr>
        <w:pStyle w:val="Heading1"/>
        <w:pBdr>
          <w:bottom w:val="single" w:color="E87722" w:sz="12" w:space="4"/>
        </w:pBdr>
        <w:spacing w:after="200" w:before="360"/>
      </w:pPr>
      <w:r>
        <w:rPr>
          <w:rFonts w:ascii="Calibri" w:cs="Calibri" w:eastAsia="Calibri" w:hAnsi="Calibri"/>
          <w:b/>
          <w:bCs/>
          <w:color w:val="1F2937"/>
          <w:sz w:val="32"/>
          <w:szCs w:val="32"/>
        </w:rPr>
        <w:t>ANNEXURE III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tnc_prices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tnc_delivery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tnc_hsn_code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tnc_pan_gst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tnc_payment_terms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tnc_packing_forwarding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tnc_freight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tnc_transit_insurance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tnc_validity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tnc_inspection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tnc_guarantee }}</w:t>
            </w:r>
          </w:p>
        </w:tc>
      </w:tr>
    </w:tbl>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800"/>
          <w:tcBorders>
            <w:top w:val="none"/>
            <w:left w:val="none"/>
            <w:bottom w:val="none"/>
            <w:right w:val="none"/>
          </w:tcBorders>
          <w:vAlign w:val="center"/>
        </w:tcPr>
        <w:p>
          <w:pPr>
            <w:jc w:val="left"/>
          </w:pPr>
          <w:r>
            <w:drawing>
              <wp:inline distT="0" distB="0" distL="0" distR="0">
                <wp:extent cx="1029600" cy="1260000"/>
                <wp:effectExtent t="0" r="0" b="0" l="0"/>
                <wp:docPr id="1"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