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ageBreakBefore/>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jc w:val="center"/>
      </w:pPr>
      <w:r>
        <w:rPr>
          <w:b/>
          <w:sz w:val="20"/>
        </w:rPr>
        <w:t>Fig 1: Operation of Regenerative Burner</w:t>
      </w:r>
    </w:p>
    <w:p>
      <w:pPr>
        <w:jc w:val="center"/>
        <w:pBdr>
          <w:bottom w:val="single" w:sz="6" w:space="6" w:color="808080"/>
        </w:pBdr>
      </w:pPr>
      <w: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jc w:val="center"/>
      </w:pPr>
      <w:r>
        <w:rPr>
          <w:b/>
          <w:sz w:val="20"/>
        </w:rPr>
        <w:t>Fig 2: Parts of Regenerative Burner</w:t>
      </w:r>
    </w:p>
    <w:p>
      <w:pPr>
        <w:jc w:val="center"/>
      </w:pPr>
      <w: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gas_train_fuel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Flexible Hose Pipe (Oil Line)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