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{{num_burners}} 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 xml:space="preserve">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spacing w:after="60" w:before="60" w:line="300"/>
        <w:jc w:val="left"/>
      </w:pPr>
      <w:r>
        <w:rPr>
          <w:rFonts w:ascii="Calibri" w:cs="Calibri" w:eastAsia="Calibri" w:hAnsi="Calibri"/>
        </w:rPr>
        <w:t>{%p if auto_control_type in ["plc_agr", "pid"] or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b/>
        </w:rPr>
        <w:t xml:space="preserve">On the main {{ fuel1_line_label or "gas" }} pipeline:</w:t>
      </w:r>
    </w:p>
    <w:p>
      <w:pPr>
        <w:spacing w:after="60" w:before="60" w:line="300"/>
        <w:jc w:val="left"/>
      </w:pPr>
      <w:r>
        <w:rPr>
          <w:rFonts w:ascii="Calibri" w:cs="Calibri" w:eastAsia="Calibri" w:hAnsi="Calibri"/>
        </w:rPr>
        <w:t xml:space="preserve">{%p if 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 xml:space="preserve">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 xml:space="preserve">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Thermocouple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 on {% if is_oil %}oil{% else %}gas{% endif %} line</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 on air line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 xml:space="preserve">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for Erection and Commissioning: INR {{ supervision_mech }} (Mechanical), INR {{ supervision_plc }} (PLC and Instrumentation). To-and-fro fare from Delhi to site, plus boarding, lodging, local conveyance, and 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