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if is_dual %}{{ burner_kw }}{% else %}{{ fuel_consumption }}{% endif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rPr>
                <w:b/>
              </w:rPr>
              <w:t>Supervision Charges for Erection and Commissioning (Mechanical)</w:t>
            </w:r>
          </w:p>
        </w:tc>
        <w:tc>
          <w:tcPr>
            <w:tcW w:type="dxa" w:w="3000"/>
          </w:tcPr>
          <w:p>
            <w:r>
              <w:t xml:space="preserve">INR {{ supervision_mech }}</w:t>
            </w:r>
          </w:p>
        </w:tc>
      </w:tr>
      <w:tr>
        <w:tc>
          <w:tcPr>
            <w:tcW w:type="dxa" w:w="6360"/>
          </w:tcPr>
          <w:p>
            <w:r>
              <w:rPr>
                <w:b/>
              </w:rP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