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 xml:space="preserve">Burner alone</w:t>
      </w:r>
    </w:p>
    <w:p>
      <w:pPr>
        <w:pStyle w:val="ListParagraph"/>
        <w:numPr>
          <w:ilvl w:val="0"/>
          <w:numId w:val="2"/>
        </w:numPr>
        <w:spacing w:after="40" w:before="40" w:line="280"/>
      </w:pPr>
      <w:r>
        <w:rPr>
          <w:rFonts w:ascii="Calibri" w:cs="Calibri" w:eastAsia="Calibri" w:hAnsi="Calibri"/>
          <w:sz w:val="22"/>
          <w:szCs w:val="22"/>
        </w:rPr>
        <w:t xml:space="preserve">Ball valve</w:t>
      </w:r>
    </w:p>
    <w:p>
      <w:pPr>
        <w:pStyle w:val="ListParagraph"/>
        <w:numPr>
          <w:ilvl w:val="0"/>
          <w:numId w:val="2"/>
        </w:numPr>
        <w:spacing w:after="40" w:before="40" w:line="280"/>
      </w:pPr>
      <w:r>
        <w:rPr>
          <w:rFonts w:ascii="Calibri" w:cs="Calibri" w:eastAsia="Calibri" w:hAnsi="Calibri"/>
          <w:sz w:val="22"/>
          <w:szCs w:val="22"/>
        </w:rPr>
        <w:t xml:space="preserve">CI Burner mounting plate</w:t>
      </w:r>
    </w:p>
    <w:p>
      <w:pPr>
        <w:pStyle w:val="ListParagraph"/>
        <w:numPr>
          <w:ilvl w:val="0"/>
          <w:numId w:val="2"/>
        </w:numPr>
        <w:spacing w:after="40" w:before="40" w:line="280"/>
      </w:pPr>
      <w:r>
        <w:rPr>
          <w:rFonts w:ascii="Calibri" w:cs="Calibri" w:eastAsia="Calibri" w:hAnsi="Calibri"/>
          <w:sz w:val="22"/>
          <w:szCs w:val="22"/>
        </w:rPr>
        <w:t xml:space="preserve">Burner Block</w:t>
      </w:r>
    </w:p>
    <w:p>
      <w:pPr>
        <w:pStyle w:val="ListParagraph"/>
        <w:numPr>
          <w:ilvl w:val="0"/>
          <w:numId w:val="2"/>
        </w:numPr>
        <w:spacing w:after="40" w:before="40" w:line="280"/>
      </w:pPr>
      <w:r>
        <w:rPr>
          <w:rFonts w:ascii="Calibri" w:cs="Calibri" w:eastAsia="Calibri" w:hAnsi="Calibri"/>
          <w:sz w:val="22"/>
          <w:szCs w:val="22"/>
        </w:rPr>
        <w:t xml:space="preserve">Flexible Hoses Set</w:t>
      </w:r>
    </w:p>
    <w:p>
      <w:pPr>
        <w:pStyle w:val="ListParagraph"/>
        <w:numPr>
          <w:ilvl w:val="0"/>
          <w:numId w:val="2"/>
        </w:numPr>
        <w:spacing w:after="40" w:before="40" w:line="280"/>
      </w:pPr>
      <w:r>
        <w:rPr>
          <w:rFonts w:ascii="Calibri" w:cs="Calibri" w:eastAsia="Calibri" w:hAnsi="Calibri"/>
          <w:sz w:val="22"/>
          <w:szCs w:val="22"/>
        </w:rPr>
        <w:t xml:space="preserve">Butterfly Valve</w:t>
      </w:r>
    </w:p>
    <w:p>
      <w:pPr>
        <w:pStyle w:val="ListParagraph"/>
        <w:numPr>
          <w:ilvl w:val="0"/>
          <w:numId w:val="2"/>
        </w:numPr>
        <w:spacing w:after="40" w:before="40" w:line="280"/>
      </w:pPr>
      <w:r>
        <w:t xml:space="preserve">{%p if is_dual %}</w:t>
      </w:r>
    </w:p>
    <w:p>
      <w:pPr>
        <w:spacing w:after="60" w:before="100"/>
      </w:pPr>
      <w: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spacing w:after="60" w:before="60" w:line="300"/>
        <w:jc w:val="left"/>
      </w:pPr>
      <w:r>
        <w:rPr>
          <w:rFonts w:ascii="Calibri" w:cs="Calibri" w:eastAsia="Calibri" w:hAnsi="Calibri"/>
        </w:rPr>
        <w:t>{%p if auto_control_type in ["plc_agr", "pid"] or control_valve_type == "motorised"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 xml:space="preserve">{%p if 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 xml:space="preserve">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 xml:space="preserve">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 xml:space="preserve">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Thermocouple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 on {% if is_oil %}oil{% else %}gas{% endif %} line</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 on air line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 xml:space="preserve">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for Erection and Commissioning: INR {{ supervision_mech }} (Mechanical), INR {{ supervision_plc }} (PLC and Instrumentation). To-and-fro fare from Delhi to site, plus boarding, lodging, local conveyance, and 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1028700" cy="82296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28700" cy="82296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