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120"/>
        <w:jc w:val="center"/>
      </w:pPr>
      <w:r>
        <w:rPr>
          <w:rFonts w:ascii="Calibri" w:cs="Calibri" w:eastAsia="Calibri" w:hAnsi="Calibri"/>
          <w:b/>
          <w:bCs/>
          <w:color w:val="E87722"/>
          <w:sz w:val="30"/>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30"/>
          <w:szCs w:val="44"/>
        </w:rPr>
        <w:t xml:space="preserve">ENCON Thermal Engineers (P) Ltd</w:t>
      </w:r>
    </w:p>
    <w:p>
      <w:pPr>
        <w:spacing w:before="0" w:after="8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fuel oil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r w:rsidR="00EA49A8">
        <w:rPr>
          <w:rFonts w:ascii="Calibri" w:hAnsi="Calibri" w:cs="Calibri" w:eastAsia="Calibri"/>
          <w:b/>
          <w:bCs/>
          <w:sz w:val="30"/>
        </w:rPr>
      </w:r>
      <w:r w:rsidR="0004453C" w:rsidRPr="007A1FC8">
        <w:rPr>
          <w:rFonts w:ascii="Calibri" w:hAnsi="Calibri" w:cs="Calibri" w:eastAsia="Calibri"/>
          <w:b/>
          <w:bCs/>
          <w:color w:val="1F2937"/>
          <w:sz w:val="30"/>
        </w:rPr>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eastAsia="Calibri"/>
          <w:sz w:val="20"/>
        </w:rPr>
      </w:r>
      <w:r w:rsidR="0003328D">
        <w:rPr>
          <w:rFonts w:ascii="Calibri" w:hAnsi="Calibri" w:cs="Calibri" w:eastAsia="Calibri"/>
          <w:sz w:val="20"/>
        </w:rPr>
      </w:r>
      <w:r w:rsidR="00EB1441">
        <w:rPr>
          <w:rFonts w:ascii="Calibri" w:hAnsi="Calibri" w:cs="Calibri" w:eastAsia="Calibri"/>
          <w:sz w:val="20"/>
        </w:rPr>
      </w:r>
      <w:r>
        <w:rPr>
          <w:rFonts w:ascii="Calibri" w:hAnsi="Calibri" w:cs="Calibri" w:eastAsia="Calibri"/>
          <w:sz w:val="20"/>
        </w:rPr>
      </w:r>
      <w:r w:rsidR="0004453C" w:rsidRPr="007A1FC8">
        <w:rPr>
          <w:rFonts w:ascii="Calibri" w:hAnsi="Calibri" w:cs="Calibri" w:eastAsia="Calibri"/>
          <w:sz w:val="20"/>
        </w:rPr>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r w:rsidR="00CA0981">
        <w:rPr>
          <w:rFonts w:ascii="Calibri" w:hAnsi="Calibri" w:cs="Calibri" w:eastAsia="Calibri"/>
          <w:sz w:val="20"/>
          <w:szCs w:val="24"/>
        </w:rPr>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Gate Valve</w:t>
      </w:r>
    </w:p>
    <w:p w14:paraId="5444037C" w14:textId="3C3F4D74" w:rsidR="00586832" w:rsidRPr="007A1FC8" w:rsidRDefault="00586832" w:rsidP="00EC3D3D">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 Pipe</w:t>
      </w:r>
      <w:r w:rsidR="009553CC">
        <w:rPr>
          <w:rFonts w:ascii="Calibri" w:hAnsi="Calibri" w:cs="Calibri" w:eastAsia="Calibri"/>
          <w:sz w:val="20"/>
          <w:szCs w:val="24"/>
        </w:rPr>
      </w:r>
      <w:r w:rsidR="00426A15">
        <w:rPr>
          <w:rFonts w:ascii="Calibri" w:hAnsi="Calibri" w:cs="Calibri" w:eastAsia="Calibri"/>
          <w:sz w:val="20"/>
          <w:szCs w:val="24"/>
        </w:rPr>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supplied from a separate LPG line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oil line will give a signal indicating the flow in the Air &amp; Oil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Oil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oil flow while maintaining the air to oil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oil will be reduced accordingly</w:t>
      </w:r>
      <w:r w:rsidR="005439B0">
        <w:rPr>
          <w:rFonts w:ascii="Calibri" w:hAnsi="Calibri" w:cs="Calibri" w:eastAsia="Calibri"/>
          <w:sz w:val="20"/>
        </w:rPr>
        <w:t xml:space="preserve"> maintaining air oil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footerReference w:type="first" r:id="rId21"/>
      <w:headerReference w:type="even" r:id="rId22"/>
      <w:footerReference w:type="even" r:id="rId23"/>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 w:type="paragraph" w:styleId="NoSpacing">
    <w:name w:val="No Spacing"/>
    <w:uiPriority w:val="1"/>
    <w:qFormat/>
    <w:rsid w:val="00BB5E58"/>
    <w:rPr>
      <w:rFonts w:ascii="Calibri" w:hAnsi="Calibri" w:cs="Calibri" w:eastAsia="Calibri"/>
      <w:sz w:val="24"/>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4"/>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 Id="rId21" Type="http://schemas.openxmlformats.org/officeDocument/2006/relationships/footer" Target="footer4.xml"/><Relationship Id="rId22" Type="http://schemas.openxmlformats.org/officeDocument/2006/relationships/header" Target="header6.xml"/><Relationship Id="rId23" Type="http://schemas.openxmlformats.org/officeDocument/2006/relationships/footer" Target="foot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