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hAnsi="Calibri"/>
          <w:b/>
          <w:sz w:val="22"/>
        </w:rPr>
        <w:t>TECHNICAL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tbl_regen_kw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tbl_burner_kw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tbl_pairs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tbl_fuel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tbl_blower_size }}</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tbl_idfan_size }}</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standby_blower and vfd %}A standby blower and a Variable Frequency Drive (VFD) shall also be provided.{% elif standby_blower %}A standby blower shall also be provided.{% elif vfd %}A Variable Frequency Drive (VFD) shall also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sz w:val="22"/>
              </w:rPr>
              <w:t>{{ tnc_regen_note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