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and not is_horizontal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t xml:space="preserve">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Burner alone</w:t>
      </w:r>
    </w:p>
    <w:p>
      <w:pPr>
        <w:pStyle w:val="ListParagraph"/>
        <w:numPr>
          <w:ilvl w:val="0"/>
          <w:numId w:val="2"/>
        </w:numPr>
        <w:spacing w:after="40" w:before="40" w:line="280"/>
      </w:pPr>
      <w:r>
        <w:rPr>
          <w:rFonts w:ascii="Calibri" w:cs="Calibri" w:eastAsia="Calibri" w:hAnsi="Calibri"/>
          <w:sz w:val="22"/>
          <w:szCs w:val="22"/>
        </w:rPr>
        <w:t xml:space="preserve">Ball valve</w:t>
      </w:r>
    </w:p>
    <w:p>
      <w:pPr>
        <w:pStyle w:val="ListParagraph"/>
        <w:numPr>
          <w:ilvl w:val="0"/>
          <w:numId w:val="2"/>
        </w:numPr>
        <w:spacing w:after="40" w:before="40" w:line="280"/>
      </w:pPr>
      <w:r>
        <w:rPr>
          <w:rFonts w:ascii="Calibri" w:cs="Calibri" w:eastAsia="Calibri" w:hAnsi="Calibri"/>
          <w:sz w:val="22"/>
          <w:szCs w:val="22"/>
        </w:rPr>
        <w:t xml:space="preserve">CI Burner mounting plate</w:t>
      </w:r>
    </w:p>
    <w:p>
      <w:pPr>
        <w:pStyle w:val="ListParagraph"/>
        <w:numPr>
          <w:ilvl w:val="0"/>
          <w:numId w:val="2"/>
        </w:numPr>
        <w:spacing w:after="40" w:before="40" w:line="280"/>
      </w:pPr>
      <w:r>
        <w:rPr>
          <w:rFonts w:ascii="Calibri" w:cs="Calibri" w:eastAsia="Calibri" w:hAnsi="Calibri"/>
          <w:sz w:val="22"/>
          <w:szCs w:val="22"/>
        </w:rPr>
        <w:t xml:space="preserve">Burner Block</w:t>
      </w:r>
    </w:p>
    <w:p>
      <w:pPr>
        <w:pStyle w:val="ListParagraph"/>
        <w:numPr>
          <w:ilvl w:val="0"/>
          <w:numId w:val="2"/>
        </w:numPr>
        <w:spacing w:after="40" w:before="40" w:line="280"/>
      </w:pPr>
      <w:r>
        <w:rPr>
          <w:rFonts w:ascii="Calibri" w:cs="Calibri" w:eastAsia="Calibri" w:hAnsi="Calibri"/>
          <w:sz w:val="22"/>
          <w:szCs w:val="22"/>
        </w:rPr>
        <w:t xml:space="preserve">Flexible Hoses Set</w:t>
      </w:r>
    </w:p>
    <w:p>
      <w:pPr>
        <w:pStyle w:val="ListParagraph"/>
        <w:numPr>
          <w:ilvl w:val="0"/>
          <w:numId w:val="2"/>
        </w:numPr>
        <w:spacing w:after="40" w:before="40" w:line="280"/>
      </w:pPr>
      <w:r>
        <w:rPr>
          <w:rFonts w:ascii="Calibri" w:cs="Calibri" w:eastAsia="Calibri" w:hAnsi="Calibri"/>
          <w:sz w:val="22"/>
          <w:szCs w:val="22"/>
        </w:rPr>
        <w:t xml:space="preserve">Butterfly Valve</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 xml:space="preserve">On the main air pipeline: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"plc_agr"]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b/>
        </w:rPr>
        <w:t xml:space="preserve">On the main {{ fuel1_line_label or "gas" }} pipeline:</w:t>
      </w:r>
    </w:p>
    <w:p>
      <w:pPr>
        <w:spacing w:after="60" w:before="60" w:line="300"/>
        <w:jc w:val="left"/>
      </w:pPr>
      <w:r>
        <w:rPr>
          <w:rFonts w:ascii="Calibri" w:cs="Calibri" w:eastAsia="Calibri" w:hAnsi="Calibri"/>
        </w:rPr>
        <w:t xml:space="preserve">{%p if is_oil %}</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"ppid_ratio"] %}</w:t>
      </w:r>
    </w:p>
    <w:p>
      <w:pPr>
        <w:pStyle w:val="ListParagraph"/>
        <w:numPr>
          <w:ilvl w:val="0"/>
          <w:numId w:val="2"/>
        </w:numPr>
        <w:spacing w:after="40" w:before="40" w:line="280"/>
      </w:pPr>
      <w:r>
        <w:rPr>
          <w:rFonts w:ascii="Calibri" w:cs="Calibri" w:eastAsia="Calibri" w:hAnsi="Calibri"/>
          <w:sz w:val="22"/>
          <w:szCs w:val="22"/>
        </w:rPr>
        <w:t xml:space="preserve">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"ppid_ratio"]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 xml:space="preserve">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 xml:space="preserve">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 xml:space="preserve">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 xml:space="preserve">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Thermocouple</w:t>
      </w:r>
    </w:p>
    <w:p>
      <w:pPr>
        <w:spacing w:after="60" w:before="60" w:line="300"/>
        <w:jc w:val="left"/>
      </w:pPr>
      <w:r>
        <w:rPr>
          <w:rFonts w:ascii="Calibri" w:cs="Calibri" w:eastAsia="Calibri" w:hAnsi="Calibri"/>
        </w:rPr>
        <w:t>{%p if control_mode == "manual" or auto_control_type in ["plc_agr", "pid", "ppid_ratio"]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 "plc"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for Erection and Commissioning: INR {{ supervision_mech }} (Mechanical), INR {{ supervision_plc }} (PLC and Instrumentation). To-and-fro fare from Delhi to site, plus boarding, lodging, local conveyance, and 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1028700" cy="82296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28700" cy="82296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