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0"/>
        <w:jc w:val="center"/>
      </w:pPr>
      <w:r>
        <w:drawing>
          <wp:inline distT="0" distB="0" distL="0" distR="0">
            <wp:extent cx="3619500" cy="28956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2895600"/>
                    </a:xfrm>
                    <a:prstGeom prst="rect">
                      <a:avLst/>
                    </a:prstGeom>
                  </pic:spPr>
                </pic:pic>
              </a:graphicData>
            </a:graphic>
          </wp:inline>
        </w:drawing>
      </w:r>
    </w:p>
    <w:p>
      <w:pPr>
        <w:spacing w:before="480" w:after="120"/>
        <w:jc w:val="center"/>
      </w:pPr>
      <w:r>
        <w:rPr>
          <w:rFonts w:ascii="Calibri" w:cs="Calibri" w:eastAsia="Calibri" w:hAnsi="Calibri"/>
          <w:b/>
          <w:bCs/>
          <w:color w:val="1F2937"/>
          <w:sz w:val="36"/>
          <w:szCs w:val="36"/>
          <w:spacing w:val="60"/>
        </w:rPr>
        <w:t xml:space="preserve">OFFER FOR</w:t>
      </w:r>
    </w:p>
    <w:p>
      <w:pPr>
        <w:spacing w:before="0" w:after="48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{{project_name}}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Enquiry No. / Date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Our Reference</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{{quote_no}}</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Date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{{date}}</w:t>
            </w:r>
          </w:p>
        </w:tc>
      </w:tr>
    </w:tbl>
    <w:p>
      <w:pPr>
        <w:spacing w:before="72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pgSz w:w="12240" w:h="15840" w:orient="portrait"/>
          <w:pgMar w:top="1080" w:right="1080" w:bottom="1080" w:left="1080" w:header="708" w:footer="708" w:gutter="0"/>
          <w:pgNumType/>
          <w:titlePg/>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 xml:space="preserve">Cover Letter</w:t>
      </w:r>
    </w:p>
    <w:p>
      <w:pPr>
        <w:spacing w:after="60" w:before="120" w:line="300"/>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300"/>
        <w:jc w:val="left"/>
      </w:pPr>
      <w:r>
        <w:rPr>
          <w:rFonts w:ascii="Calibri" w:cs="Calibri" w:eastAsia="Calibri" w:hAnsi="Calibri"/>
        </w:rPr>
        <w:t>Kind Attn: {{poc_name}} ({{poc_designation}})</w:t>
      </w:r>
    </w:p>
    <w:p>
      <w:pPr>
        <w:spacing w:after="60" w:before="0" w:line="300"/>
        <w:jc w:val="left"/>
      </w:pPr>
      <w:r>
        <w:rPr>
          <w:rFonts w:ascii="Calibri" w:cs="Calibri" w:eastAsia="Calibri" w:hAnsi="Calibri"/>
        </w:rPr>
        <w:t>Contact No.: {{mobile_no}}</w:t>
      </w:r>
    </w:p>
    <w:p>
      <w:pPr>
        <w:spacing w:after="200" w:before="0" w:line="300"/>
        <w:jc w:val="left"/>
      </w:pPr>
      <w:r>
        <w:rPr>
          <w:rFonts w:ascii="Calibri" w:cs="Calibri" w:eastAsia="Calibri" w:hAnsi="Calibri"/>
          <w:sz w:val="22"/>
          <w:szCs w:val="22"/>
        </w:rPr>
        <w:t>Email: {{email}}</w:t>
      </w:r>
    </w:p>
    <w:p>
      <w:pPr>
        <w:spacing w:after="160" w:before="160"/>
      </w:pPr>
      <w:r>
        <w:t xml:space="preserve"/>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300"/>
        <w:jc w:val="left"/>
      </w:pPr>
      <w:r>
        <w:rPr>
          <w:rFonts w:ascii="Calibri" w:cs="Calibri" w:eastAsia="Calibri" w:hAnsi="Calibri"/>
        </w:rPr>
        <w:t xml:space="preserve">Dear Sir,</w:t>
      </w:r>
    </w:p>
    <w:p>
      <w:pPr>
        <w:spacing w:after="160" w:before="0" w:line="300"/>
        <w:jc w:val="left"/>
      </w:pPr>
      <w:r>
        <w:rPr>
          <w:rFonts w:ascii="Calibri" w:cs="Calibri" w:eastAsia="Calibri" w:hAnsi="Calibri"/>
        </w:rPr>
        <w:t>This is with reference to your enquiry for {{project_name}} as per the technical specifications shared.</w:t>
      </w:r>
    </w:p>
    <w:p>
      <w:pPr>
        <w:spacing w:after="160" w:before="0" w:line="300"/>
        <w:jc w:val="left"/>
      </w:pPr>
      <w:r>
        <w:rPr>
          <w:rFonts w:ascii="Calibri" w:cs="Calibri" w:eastAsia="Calibri" w:hAnsi="Calibri"/>
        </w:rPr>
        <w:t xml:space="preserve">We are pleased to enclose herewith our most competitive and comprehensive revised offer for the same for your kind perusal.</w:t>
      </w:r>
    </w:p>
    <w:p>
      <w:pPr>
        <w:spacing w:after="320" w:before="0" w:line="300"/>
        <w:jc w:val="left"/>
      </w:pPr>
      <w:r>
        <w:rPr>
          <w:rFonts w:ascii="Calibri" w:cs="Calibri" w:eastAsia="Calibri" w:hAnsi="Calibri"/>
        </w:rPr>
        <w:t xml:space="preserve">Though we have endeavored to make the offer self-explanatory, please feel free to contact us should you require any clarification or additional information.</w:t>
      </w:r>
    </w:p>
    <w:p>
      <w:pPr>
        <w:spacing w:after="40" w:before="0" w:line="300"/>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300"/>
        <w:jc w:val="left"/>
      </w:pPr>
      <w:r>
        <w:rPr>
          <w:rFonts w:ascii="Calibri" w:cs="Calibri" w:eastAsia="Calibri" w:hAnsi="Calibri"/>
        </w:rPr>
        <w:t xml:space="preserve">ENCON Thermal Engineers Pvt. Ltd.</w:t>
      </w:r>
    </w:p>
    <w:p>
      <w:pPr>
        <w:spacing w:after="0" w:before="0" w:line="300"/>
        <w:jc w:val="left"/>
      </w:pPr>
      <w:r>
        <w:rPr>
          <w:rFonts w:ascii="Calibri" w:cs="Calibri" w:eastAsia="Calibri" w:hAnsi="Calibri"/>
          <w:sz w:val="22"/>
          <w:szCs w:val="22"/>
        </w:rPr>
        <w:t>Mob: {{technical_phone}}</w:t>
      </w:r>
    </w:p>
    <w:p>
      <w:pPr>
        <w:spacing w:after="320" w:before="0" w:line="300"/>
        <w:jc w:val="left"/>
      </w:pPr>
      <w:r>
        <w:rPr>
          <w:rFonts w:ascii="Calibri" w:cs="Calibri" w:eastAsia="Calibri" w:hAnsi="Calibri"/>
          <w:sz w:val="22"/>
          <w:szCs w:val="22"/>
        </w:rPr>
        <w:t>Email: {{technical_email}}   |   www.encon.co.in</w:t>
      </w:r>
      <w:r>
        <w:rPr>
          <w:rFonts w:ascii="Calibri" w:cs="Calibri" w:eastAsia="Calibri" w:hAnsi="Calibri"/>
          <w:color w:val="6B7280"/>
          <w:sz w:val="22"/>
          <w:szCs w:val="22"/>
        </w:rPr>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 xml:space="preserve">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Exclusions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IV</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Reference List of Clients</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Make List</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1. Company Profile</w:t>
      </w:r>
    </w:p>
    <w:p>
      <w:pPr>
        <w:pStyle w:val="Heading2"/>
        <w:spacing w:after="120" w:before="280"/>
      </w:pPr>
      <w:r>
        <w:rPr>
          <w:rFonts w:ascii="Calibri" w:cs="Calibri" w:eastAsia="Calibri" w:hAnsi="Calibri"/>
          <w:b/>
          <w:bCs/>
          <w:color w:val="E87722"/>
          <w:sz w:val="26"/>
          <w:szCs w:val="26"/>
        </w:rPr>
        <w:t xml:space="preserve">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 xml:space="preserve">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 xml:space="preserve">Some of Our Esteemed Clients</w:t>
      </w:r>
    </w:p>
    <w:p>
      <w:pPr>
        <w:spacing w:after="200" w:before="60" w:line="300"/>
        <w:jc w:val="left"/>
      </w:pPr>
      <w:r>
        <w:rPr>
          <w:rFonts w:ascii="Calibri" w:cs="Calibri" w:eastAsia="Calibri" w:hAnsi="Calibri"/>
        </w:rPr>
        <w:t xml:space="preserve">ENCON has built lasting partnerships with leading names across the steel, casting, and process industries — a representative reference list is included in Annexure V.</w:t>
      </w:r>
    </w:p>
    <w:p>
      <w:pPr>
        <w:pStyle w:val="Heading2"/>
        <w:spacing w:after="120" w:before="280"/>
      </w:pPr>
      <w:r>
        <w:rPr>
          <w:rFonts w:ascii="Calibri" w:cs="Calibri" w:eastAsia="Calibri" w:hAnsi="Calibri"/>
          <w:b/>
          <w:bCs/>
          <w:color w:val="E87722"/>
          <w:sz w:val="26"/>
          <w:szCs w:val="26"/>
        </w:rPr>
        <w:t xml:space="preserve">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 xml:space="preserve">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 xml:space="preserve">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ns0:p xmlns:ns0="http://schemas.openxmlformats.org/wordprocessingml/2006/main" xmlns:ns1="http://schemas.microsoft.com/office/word/2010/wordml" xmlns:ns2="http://schemas.openxmlformats.org/drawingml/2006/wordprocessingDrawing" xmlns:ns3="http://schemas.microsoft.com/office/word/2010/wordprocessingDrawing" xmlns:ns4="http://schemas.openxmlformats.org/drawingml/2006/main" xmlns:ns5="http://schemas.openxmlformats.org/drawingml/2006/picture" xmlns:ns6="http://schemas.openxmlformats.org/officeDocument/2006/relationships" ns1:paraId="0B67A015" ns1:textId="77777777" ns0:rsidR="009C3D95" ns0:rsidRDefault="00000000">
      <ns0:pPr>
        <ns0:pBdr>
          <ns0:top ns0:val="nil"/>
          <ns0:left ns0:val="nil"/>
          <ns0:bottom ns0:val="nil"/>
          <ns0:right ns0:val="nil"/>
          <ns0:between ns0:val="nil"/>
        </ns0:pBdr>
        <ns0:spacing ns0:before="163"/>
        <ns0:rPr>
          <ns0:color ns0:val="000000"/>
          <ns0:sz ns0:val="20"/>
          <ns0:szCs ns0:val="20"/>
        </ns0:rPr>
        <ns0:sectPr ns0:rsidR="009C3D95">
          <ns0:pgSz ns0:w="11920" ns0:h="16850"/>
          <ns0:pgMar ns0:top="1340" ns0:right="340" ns0:bottom="1540" ns0:left="440" ns0:header="0" ns0:footer="1341" ns0:gutter="0"/>
          <ns0:cols ns0:space="720"/>
        </ns0:sectPr>
      </ns0:pPr>
      <ns0:r>
        <ns0:rPr>
          <ns0:noProof/>
        </ns0:rPr>
        <ns0:drawing>
          <ns2:anchor distT="0" distB="0" distL="0" distR="0" simplePos="0" relativeHeight="251682816" behindDoc="0" locked="0" layoutInCell="1" hidden="0" allowOverlap="1" ns3:anchorId="14434975" ns3:editId="7465BD3B">
            <ns2:simplePos x="0" y="0"/>
            <ns2:positionH relativeFrom="column">
              <ns2:posOffset>527050</ns2:posOffset>
            </ns2:positionH>
            <ns2:positionV relativeFrom="paragraph">
              <ns2:posOffset>262890</ns2:posOffset>
            </ns2:positionV>
            <ns2:extent cx="6165215" cy="3194050"/>
            <ns2:effectExtent l="0" t="0" r="0" b="0"/>
            <ns2:wrapTopAndBottom distT="0" distB="0"/>
            <ns2:docPr id="909070903" name="image22.jpg"/>
            <ns2:cNvGraphicFramePr/>
            <ns4:graphic>
              <ns4:graphicData uri="http://schemas.openxmlformats.org/drawingml/2006/picture">
                <ns5:pic>
                  <ns5:nvPicPr>
                    <ns5:cNvPr id="0" name="image22.jpg"/>
                    <ns5:cNvPicPr preferRelativeResize="0"/>
                  </ns5:nvPicPr>
                  <ns5:blipFill>
                    <ns4:blip ns6:embed="rId16"/>
                    <ns4:srcRect/>
                    <ns4:stretch>
                      <ns4:fillRect/>
                    </ns4:stretch>
                  </ns5:blipFill>
                  <ns5:spPr>
                    <ns4:xfrm>
                      <ns4:off x="0" y="0"/>
                      <ns4:ext cx="6165215" cy="3194050"/>
                    </ns4:xfrm>
                    <ns4:prstGeom prst="rect">
                      <ns4:avLst/>
                    </ns4:prstGeom>
                    <ns4:ln/>
                  </ns5:spPr>
                </ns5:pic>
              </ns4:graphicData>
            </ns4:graphic>
          </ns2:anchor>
        </ns0:drawing>
      </ns0:r>
    </ns0: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2. About the Client</w:t>
      </w:r>
    </w:p>
    <w:p>
      <w:pPr>
        <w:pStyle w:val="Heading3"/>
        <w:spacing w:after="80" w:before="200"/>
      </w:pPr>
      <w:r>
        <w:rPr>
          <w:rFonts w:ascii="Calibri" w:cs="Calibri" w:eastAsia="Calibri" w:hAnsi="Calibri"/>
          <w:b/>
          <w:bCs/>
          <w:color w:val="1F2937"/>
          <w:sz w:val="22"/>
          <w:szCs w:val="22"/>
        </w:rPr>
        <w:t xml:space="preserve">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 xml:space="preserve">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3. Technical Specifications</w:t>
      </w:r>
    </w:p>
    <w:p>
      <w:pPr>
        <w:pStyle w:val="Heading2"/>
        <w:spacing w:after="120" w:before="280"/>
      </w:pPr>
      <w:r>
        <w:rPr>
          <w:rFonts w:ascii="Calibri" w:cs="Calibri" w:eastAsia="Calibri" w:hAnsi="Calibri"/>
          <w:b/>
          <w:bCs/>
          <w:color w:val="E87722"/>
          <w:sz w:val="26"/>
          <w:szCs w:val="26"/>
        </w:rPr>
        <w:t xml:space="preserve">Vertical Ladle Preheaters and Dryers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Parameter</w:t>
            </w:r>
          </w:p>
        </w:tc>
        <w:tc>
          <w:tcPr>
            <w:tcW w:type="dxa" w:w="5616"/>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Specification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Type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{{equipment_name}}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Capacity</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{{ladle_tons}} Ton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Weight of Refractory Lining</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{{refractory_weight_kg}}</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Temperature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{{heating_schedule}}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Time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{{heating_time}}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Type of Fuel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{{fuel_name}}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Calorific Value of Fuel</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{{fuel_cv}}</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Firing Rate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{{fuel_consumption}}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Burner Capacity</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{{burner_capacity_range}}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Combustion Air Blower</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{{blower_model}}</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ENCON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{{burner_kw}}</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Capacity / Motor Rating</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{{blower_capacity}}</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Movement of Hood</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{{hood_movement}}</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Maximum Electrical Load Required</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{{max_electrical_load}}</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Ignition</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special_auto_ignition %}Using {{pilot_gas_type}} Pilot Burner{% else %}Manual{%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Temperature Control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if control_mode == "manual" %}Manual{% else %}{% if auto_control_type == "plc_agr" %}PLC + AGR{% elif auto_control_type == "pid" %}PID{% else %}PLC{% endif %}{% endif %}</w:t>
            </w:r>
          </w:p>
        </w:tc>
      </w:tr>
    </w:tbl>
    <w:p>
      <w:pPr>
        <w:spacing w:after="200" w:before="200"/>
      </w:pPr>
      <w:r>
        <w:t xml:space="preserve"/>
      </w:r>
    </w:p>
    <w:p>
      <w:r>
        <w:br w:type="page"/>
      </w:r>
    </w:p>
    <w:p>
      <w:pPr>
        <w:pStyle w:val="Heading2"/>
        <w:spacing w:after="120" w:before="280"/>
      </w:pPr>
      <w:r>
        <w:rPr>
          <w:rFonts w:ascii="Calibri" w:cs="Calibri" w:eastAsia="Calibri" w:hAnsi="Calibri"/>
          <w:b/>
          <w:bCs/>
          <w:color w:val="E87722"/>
          <w:sz w:val="26"/>
          <w:szCs w:val="26"/>
        </w:rPr>
        <w:t xml:space="preserve">Scope of Supply</w:t>
      </w:r>
    </w:p>
    <w:p>
      <w:pPr>
        <w:spacing w:after="160" w:before="60" w:line="300"/>
        <w:jc w:val="left"/>
      </w:pPr>
      <w:r>
        <w:rPr>
          <w:rFonts w:ascii="Calibri" w:cs="Calibri" w:eastAsia="Calibri" w:hAnsi="Calibri"/>
        </w:rPr>
        <w:t xml:space="preserve">Our scope of supply will cover design, engineering, manufacturing &amp; supervision for erection, commissioning, and performance guarantee.</w:t>
      </w:r>
    </w:p>
    <w:p>
      <w:pPr>
        <w:pStyle w:val="Heading3"/>
        <w:spacing w:after="80" w:before="200"/>
      </w:pPr>
      <w:r>
        <w:rPr>
          <w:rFonts w:ascii="Calibri" w:cs="Calibri" w:eastAsia="Calibri" w:hAnsi="Calibri"/>
          <w:b/>
          <w:bCs/>
          <w:color w:val="1F2937"/>
          <w:sz w:val="22"/>
          <w:szCs w:val="22"/>
        </w:rPr>
        <w:t xml:space="preserve">Ladle Hood with Arm</w:t>
      </w:r>
    </w:p>
    <w:p>
      <w:pPr>
        <w:spacing w:after="60" w:before="60" w:line="300"/>
        <w:jc w:val="left"/>
      </w:pPr>
      <w:r>
        <w:rPr>
          <w:rFonts w:ascii="Calibri" w:cs="Calibri" w:eastAsia="Calibri" w:hAnsi="Calibri"/>
        </w:rPr>
        <w:t xml:space="preserve">The ladle hood will be fabricated from mild steel plates of suitable thickness and held through a suitable support. The burner will be installed on the hood. We provide a burner block made of high-temperature-resistant metal casting for longer, trouble-free life.</w:t>
      </w:r>
    </w:p>
    <w:p>
      <w:pPr>
        <w:pStyle w:val="Heading3"/>
        <w:spacing w:after="80" w:before="200"/>
      </w:pPr>
      <w:r>
        <w:rPr>
          <w:rFonts w:ascii="Calibri" w:cs="Calibri" w:eastAsia="Calibri" w:hAnsi="Calibri"/>
          <w:b/>
          <w:bCs/>
          <w:color w:val="1F2937"/>
          <w:sz w:val="22"/>
          <w:szCs w:val="22"/>
        </w:rPr>
        <w:t xml:space="preserve">Hood Lining</w:t>
      </w:r>
    </w:p>
    <w:p>
      <w:pPr>
        <w:spacing w:after="60" w:before="60" w:line="300"/>
        <w:jc w:val="left"/>
      </w:pPr>
      <w:r>
        <w:rPr>
          <w:rFonts w:ascii="Calibri" w:cs="Calibri" w:eastAsia="Calibri" w:hAnsi="Calibri"/>
        </w:rPr>
        <w:t xml:space="preserve">Ceramic-fibre modular lining of suitable thickness will be provided in the hood. The lining will be held with T-anchors made of SS-304, specially designed to increase the life of the fibre lining and ensure its safety.</w:t>
      </w:r>
    </w:p>
    <w:p>
      <w:pPr>
        <w:pStyle w:val="Heading3"/>
        <w:spacing w:after="80" w:before="200"/>
      </w:pPr>
      <w:r>
        <w:t xml:space="preserve">{%p if hood_type == "up_down" and not is_horizontal %}</w:t>
      </w:r>
    </w:p>
    <w:p>
      <w:pPr>
        <w:pStyle w:val="Heading3"/>
        <w:spacing w:after="80" w:before="200"/>
      </w:pPr>
      <w:r>
        <w:rPr>
          <w:rFonts w:ascii="Calibri" w:cs="Calibri" w:eastAsia="Calibri" w:hAnsi="Calibri"/>
          <w:b/>
          <w:bCs/>
          <w:color w:val="1F2937"/>
          <w:sz w:val="22"/>
          <w:szCs w:val="22"/>
        </w:rPr>
        <w:t xml:space="preserve">Lifting &amp; Lowering Mechanism</w:t>
      </w:r>
    </w:p>
    <w:p>
      <w:pPr>
        <w:spacing w:after="60" w:before="60" w:line="300"/>
        <w:jc w:val="left"/>
      </w:pPr>
      <w:r>
        <w:rPr>
          <w:rFonts w:ascii="Calibri" w:cs="Calibri" w:eastAsia="Calibri" w:hAnsi="Calibri"/>
        </w:rPr>
        <w:t>To remove the ladle easily after drying/heating, the system provides “up and down” movement of the hood. Lifting/lowering is performed by a single-acting (push) hydraulic cylinder fitted in the column with a dedicated power pack of suitable capacity. Limit switches LS1 and LS2 indicate the parking and working positions respectively, with a maximum lift of 85° from the parking position. An additional mechanical locking arrangement prevents the hood from dropping in case of hydraulic failure. The hydraulic system comprises an oil tank, oil pump with motor, suction strainer, pressure gauges with thumb-operated needle valve, directional valves, pilot-operated check valves, pressure hoses, level switch, return-line filter (with clogging switch and indicator), pressure-relief valve, pressure switch, and temperature gauge.</w:t>
      </w:r>
    </w:p>
    <w:p>
      <w:pPr>
        <w:spacing w:after="60" w:before="60" w:line="300"/>
        <w:jc w:val="left"/>
      </w:pPr>
      <w:r>
        <w:t xml:space="preserve">{%p endif %}</w:t>
      </w:r>
    </w:p>
    <w:p>
      <w:pPr>
        <w:spacing w:after="60" w:before="60" w:line="300"/>
        <w:jc w:val="left"/>
      </w:pPr>
      <w:r>
        <w:t xml:space="preserve">{%p if hood_type == "swivel_manual" and not is_horizontal %}</w:t>
      </w:r>
    </w:p>
    <w:p>
      <w:pPr>
        <w:pStyle w:val="Heading3"/>
        <w:spacing w:after="80" w:before="200"/>
      </w:pPr>
      <w:r>
        <w:t xml:space="preserve">Swivelling Mechanism</w:t>
      </w:r>
    </w:p>
    <w:p>
      <w:pPr>
        <w:spacing w:after="60" w:before="60" w:line="300"/>
        <w:jc w:val="left"/>
      </w:pPr>
      <w:r>
        <w:t xml:space="preserve">The swivelling mechanism of the preheating hood will be made effective manually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hood_type == "swivel_geared" and not is_horizontal %}</w:t>
      </w:r>
    </w:p>
    <w:p>
      <w:pPr>
        <w:pStyle w:val="Heading3"/>
        <w:spacing w:after="80" w:before="200"/>
      </w:pPr>
      <w:r>
        <w:t xml:space="preserve">Swivelling Mechanism</w:t>
      </w:r>
    </w:p>
    <w:p>
      <w:pPr>
        <w:spacing w:after="60" w:before="60" w:line="300"/>
        <w:jc w:val="left"/>
      </w:pPr>
      <w:r>
        <w:t xml:space="preserve">The swivelling mechanism of the preheating hood will be made effective using a motor and gear box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is_horizontal %}</w:t>
      </w:r>
    </w:p>
    <w:p>
      <w:pPr>
        <w:pStyle w:val="Heading3"/>
        <w:spacing w:after="80" w:before="200"/>
      </w:pPr>
      <w:r>
        <w:t xml:space="preserve">Hood Movement Mechanism</w:t>
      </w:r>
    </w:p>
    <w:p>
      <w:pPr>
        <w:spacing w:after="60" w:before="60" w:line="300"/>
        <w:jc w:val="left"/>
      </w:pPr>
      <w:r>
        <w:t xml:space="preserve">Movement of the ladle hood shall be done through a trolley drive and geared-motor mechanism. Our scope of supply shall include the trolley carrying all the above equipment, and the burner-firing hood driven by an electro-mechanical drive (geared motor). The trolley will be supported on 4 Nos. of wheel-bearing assemblies. The maximum forward and reverse travel of the trolley will be governed through limit switches. The rail for the trolley is in client's scope.</w:t>
      </w:r>
    </w:p>
    <w:p>
      <w:pPr>
        <w:spacing w:after="60" w:before="60" w:line="300"/>
        <w:jc w:val="left"/>
      </w:pPr>
      <w:r>
        <w:t xml:space="preserve">{%p endif %}</w:t>
      </w:r>
    </w:p>
    <w:p>
      <w:pPr>
        <w:pStyle w:val="Heading3"/>
        <w:spacing w:after="80" w:before="200"/>
      </w:pPr>
      <w:r>
        <w:rPr>
          <w:rFonts w:ascii="Calibri" w:cs="Calibri" w:eastAsia="Calibri" w:hAnsi="Calibri"/>
          <w:b/>
          <w:bCs/>
          <w:color w:val="1F2937"/>
          <w:sz w:val="22"/>
          <w:szCs w:val="22"/>
        </w:rPr>
        <w:t>{% if is_oil %}ENCON Film Burner{% elif is_dual %}ENCON Dual Burner{% else %}ENCON Gas Burner{% endif %}</w:t>
      </w:r>
    </w:p>
    <w:p>
      <w:pPr>
        <w:spacing w:after="60" w:before="60" w:line="300"/>
        <w:jc w:val="left"/>
      </w:pPr>
      <w:r>
        <w:rPr>
          <w:rFonts w:ascii="Calibri" w:cs="Calibri" w:eastAsia="Calibri" w:hAnsi="Calibri"/>
        </w:rPr>
        <w:t>For {{equipment_name}}, we will supply 1 No. of ENCON burner of {{burner_kw}}.</w:t>
      </w:r>
    </w:p>
    <w:p>
      <w:pPr>
        <w:pStyle w:val="Heading3"/>
        <w:spacing w:after="80" w:before="200"/>
      </w:pPr>
      <w:r>
        <w:rPr>
          <w:rFonts w:ascii="Calibri" w:cs="Calibri" w:eastAsia="Calibri" w:hAnsi="Calibri"/>
          <w:b/>
          <w:bCs/>
          <w:color w:val="1F2937"/>
          <w:sz w:val="22"/>
          <w:szCs w:val="22"/>
        </w:rPr>
        <w:t xml:space="preserve">Burner Control System</w:t>
      </w:r>
    </w:p>
    <w:p>
      <w:pPr>
        <w:pStyle w:val="ListParagraph"/>
        <w:numPr>
          <w:ilvl w:val="0"/>
          <w:numId w:val="2"/>
        </w:numPr>
        <w:spacing w:after="40" w:before="40" w:line="280"/>
      </w:pPr>
      <w:r>
        <w:t xml:space="preserve">{%p if is_dual %}</w:t>
      </w:r>
    </w:p>
    <w:p>
      <w:pPr>
        <w:spacing w:after="60" w:before="100"/>
      </w:pPr>
      <w:r>
        <w:t xml:space="preserve">On the main {{ fuel1_line_label }} pipeline:</w:t>
      </w:r>
    </w:p>
    <w:p>
      <w:pPr>
        <w:pStyle w:val="ListParagraph"/>
        <w:numPr>
          <w:ilvl w:val="0"/>
          <w:numId w:val="2"/>
        </w:numPr>
        <w:spacing w:after="40" w:before="40" w:line="280"/>
      </w:pPr>
      <w:r>
        <w:t xml:space="preserve">{%p for x in fuel1_line_items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00"/>
      </w:pPr>
      <w:r>
        <w:t xml:space="preserve">On the main {{ fuel2_line_label }} pipeline:</w:t>
      </w:r>
    </w:p>
    <w:p>
      <w:pPr>
        <w:pStyle w:val="ListParagraph"/>
        <w:numPr>
          <w:ilvl w:val="0"/>
          <w:numId w:val="2"/>
        </w:numPr>
        <w:spacing w:after="40" w:before="40" w:line="280"/>
      </w:pPr>
      <w:r>
        <w:t xml:space="preserve">{%p for x in fuel2_line_items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else %}</w:t>
      </w:r>
    </w:p>
    <w:p>
      <w:pPr>
        <w:spacing w:after="60" w:before="100"/>
      </w:pPr>
      <w:r>
        <w:rPr>
          <w:rFonts w:ascii="Calibri" w:cs="Calibri" w:eastAsia="Calibri" w:hAnsi="Calibri"/>
          <w:b/>
          <w:bCs/>
          <w:sz w:val="22"/>
          <w:szCs w:val="22"/>
        </w:rPr>
        <w:t xml:space="preserve">On the main gas pipeline:</w:t>
      </w:r>
    </w:p>
    <w:p>
      <w:pPr>
        <w:pStyle w:val="ListParagraph"/>
        <w:numPr>
          <w:ilvl w:val="0"/>
          <w:numId w:val="2"/>
        </w:numPr>
        <w:spacing w:after="40" w:before="40" w:line="280"/>
      </w:pPr>
      <w:r>
        <w:t xml:space="preserve">{%p for x in gas_pipeline_items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endif %}</w:t>
      </w:r>
    </w:p>
    <w:p>
      <w:pPr>
        <w:spacing w:after="60" w:before="120"/>
      </w:pPr>
      <w:r>
        <w:rPr>
          <w:rFonts w:ascii="Calibri" w:cs="Calibri" w:eastAsia="Calibri" w:hAnsi="Calibri"/>
          <w:b/>
          <w:bCs/>
          <w:sz w:val="22"/>
          <w:szCs w:val="22"/>
        </w:rPr>
        <w:t xml:space="preserve">On the main air pipeline:</w:t>
      </w:r>
    </w:p>
    <w:p>
      <w:pPr>
        <w:pStyle w:val="ListParagraph"/>
        <w:numPr>
          <w:ilvl w:val="0"/>
          <w:numId w:val="2"/>
        </w:numPr>
        <w:spacing w:after="40" w:before="40" w:line="280"/>
      </w:pPr>
      <w:r>
        <w:t xml:space="preserve">{%p for x in air_pipeline_items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if special_auto_ignition %}</w:t>
      </w:r>
    </w:p>
    <w:p>
      <w:pPr>
        <w:spacing w:after="60" w:before="120"/>
      </w:pPr>
      <w:r>
        <w:rPr>
          <w:rFonts w:ascii="Calibri" w:cs="Calibri" w:eastAsia="Calibri" w:hAnsi="Calibri"/>
          <w:b/>
          <w:bCs/>
          <w:sz w:val="22"/>
          <w:szCs w:val="22"/>
        </w:rPr>
        <w:t>{{pilot_gas_type}} Line for Pilot Burner:</w:t>
      </w:r>
    </w:p>
    <w:p>
      <w:pPr>
        <w:pStyle w:val="ListParagraph"/>
        <w:numPr>
          <w:ilvl w:val="0"/>
          <w:numId w:val="2"/>
        </w:numPr>
        <w:spacing w:after="40" w:before="40" w:line="280"/>
      </w:pPr>
      <w:r>
        <w:t xml:space="preserve">{%p for x in pilot_pipeline_items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pPr>
        <w:pStyle w:val="Heading3"/>
        <w:spacing w:after="80" w:before="200"/>
      </w:pPr>
      <w:r>
        <w:rPr>
          <w:rFonts w:ascii="Calibri" w:cs="Calibri" w:eastAsia="Calibri" w:hAnsi="Calibri"/>
          <w:b/>
          <w:bCs/>
          <w:color w:val="1F2937"/>
          <w:sz w:val="22"/>
          <w:szCs w:val="22"/>
        </w:rPr>
        <w:t xml:space="preserve">Combustion Air Blower</w:t>
      </w:r>
    </w:p>
    <w:p>
      <w:pPr>
        <w:spacing w:after="60" w:before="60" w:line="300"/>
        <w:jc w:val="left"/>
      </w:pPr>
      <w:r>
        <w:rPr>
          <w:rFonts w:ascii="Calibri" w:cs="Calibri" w:eastAsia="Calibri" w:hAnsi="Calibri"/>
        </w:rPr>
        <w:t xml:space="preserve">To supply combustion air to the burner, we provide a centrifugal steel-plate air blower of suitable capacity, equipped with a squirrel-cage induction motor of reputed make (ABB / CGL / BB). The blower is direct-driven, with the impeller mounted on the motor shaft.</w:t>
      </w:r>
    </w:p>
    <w:p>
      <w:pPr>
        <w:spacing w:after="60" w:before="60" w:line="300"/>
        <w:jc w:val="left"/>
      </w:pPr>
      <w:r>
        <w:t xml:space="preserve">{%p if is_oil or is_dual %}</w:t>
      </w:r>
    </w:p>
    <w:p>
      <w:pPr>
        <w:pStyle w:val="Heading3"/>
        <w:spacing w:after="80" w:before="200"/>
      </w:pPr>
      <w:r>
        <w:t xml:space="preserve">{{ pumping_unit_heading }}</w:t>
      </w:r>
    </w:p>
    <w:p>
      <w:pPr>
        <w:spacing w:after="60" w:before="60" w:line="300"/>
        <w:jc w:val="left"/>
      </w:pPr>
      <w:r>
        <w:t xml:space="preserve">{{ pumping_unit_intro }}</w:t>
      </w:r>
    </w:p>
    <w:p>
      <w:pPr>
        <w:spacing w:after="60" w:before="60" w:line="300"/>
        <w:jc w:val="left"/>
      </w:pPr>
      <w:r>
        <w:t xml:space="preserve">{%p for x in pumping_unit_items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spacing w:after="60" w:before="60" w:line="300"/>
        <w:jc w:val="left"/>
      </w:pPr>
      <w:r>
        <w:t xml:space="preserve">{%p endfor %}</w:t>
      </w:r>
    </w:p>
    <w:p>
      <w:pPr>
        <w:spacing w:after="60" w:before="60" w:line="300"/>
        <w:jc w:val="left"/>
      </w:pPr>
      <w:r>
        <w:t xml:space="preserve">{%p endif %}</w:t>
      </w:r>
    </w:p>
    <w:p>
      <w:pPr>
        <w:spacing w:after="60" w:before="120"/>
      </w:pPr>
      <w:r>
        <w:t xml:space="preserve">{%p if nitrogen_purging %}</w:t>
      </w:r>
    </w:p>
    <w:p>
      <w:pPr>
        <w:spacing w:after="60" w:before="120"/>
      </w:pPr>
      <w:r>
        <w:rPr>
          <w:rFonts w:ascii="Calibri" w:cs="Calibri" w:eastAsia="Calibri" w:hAnsi="Calibri"/>
          <w:b/>
          <w:bCs/>
          <w:sz w:val="22"/>
          <w:szCs w:val="22"/>
        </w:rPr>
        <w:t xml:space="preserve">Nitrogen Purging:</w:t>
      </w:r>
    </w:p>
    <w:p>
      <w:pPr>
        <w:pStyle w:val="ListParagraph"/>
        <w:numPr>
          <w:ilvl w:val="0"/>
          <w:numId w:val="2"/>
        </w:numPr>
        <w:spacing w:after="40" w:before="40" w:line="280"/>
      </w:pPr>
      <w:r>
        <w:t xml:space="preserve">{%p for x in nitrogen_purging_items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r/>
    </w:p>
    <w:p>
      <w:pPr>
        <w:pStyle w:val="Heading3"/>
        <w:spacing w:after="80" w:before="200"/>
      </w:pPr>
      <w:r>
        <w:rPr>
          <w:rFonts w:ascii="Calibri" w:cs="Calibri" w:eastAsia="Calibri" w:hAnsi="Calibri"/>
          <w:b/>
          <w:bCs/>
          <w:color w:val="1F2937"/>
          <w:sz w:val="22"/>
          <w:szCs w:val="22"/>
        </w:rPr>
        <w:t xml:space="preserve">Temperature Control System</w:t>
      </w:r>
    </w:p>
    <w:p>
      <w:pPr>
        <w:pStyle w:val="ListParagraph"/>
        <w:numPr>
          <w:ilvl w:val="0"/>
          <w:numId w:val="3"/>
        </w:numPr>
        <w:spacing w:after="40" w:before="40" w:line="280"/>
      </w:pPr>
      <w:r>
        <w:t xml:space="preserve">{%p for x in temp_control_items %}</w:t>
      </w:r>
    </w:p>
    <w:p>
      <w:pPr>
        <w:pStyle w:val="ListParagraph"/>
        <w:numPr>
          <w:ilvl w:val="0"/>
          <w:numId w:val="2"/>
        </w:numPr>
        <w:spacing w:after="40" w:before="40" w:line="280"/>
      </w:pPr>
      <w:r>
        <w:t xml:space="preserve">{{ x.item }}</w:t>
      </w:r>
    </w:p>
    <w:p>
      <w:pPr>
        <w:pStyle w:val="ListParagraph"/>
        <w:numPr>
          <w:ilvl w:val="0"/>
          <w:numId w:val="3"/>
        </w:numPr>
        <w:spacing w:after="40" w:before="40" w:line="280"/>
      </w:pPr>
      <w:r>
        <w:t xml:space="preserve">{%p for s in x.sub_items %}</w:t>
      </w:r>
    </w:p>
    <w:p>
      <w:pPr>
        <w:pStyle w:val="ListParagraph"/>
        <w:numPr>
          <w:ilvl w:val="1"/>
          <w:numId w:val="3"/>
        </w:numPr>
        <w:spacing w:after="40" w:before="40" w:line="280"/>
      </w:pPr>
      <w:r>
        <w:t xml:space="preserve">{{ s.item }}</w:t>
      </w:r>
    </w:p>
    <w:p>
      <w:pPr>
        <w:pStyle w:val="ListParagraph"/>
        <w:numPr>
          <w:ilvl w:val="0"/>
          <w:numId w:val="3"/>
        </w:numPr>
        <w:spacing w:after="40" w:before="40" w:line="280"/>
      </w:pPr>
      <w:r>
        <w:t xml:space="preserve">{%p endfor %}</w:t>
      </w:r>
    </w:p>
    <w:p>
      <w:pPr>
        <w:pStyle w:val="ListParagraph"/>
        <w:numPr>
          <w:ilvl w:val="0"/>
          <w:numId w:val="3"/>
        </w:numPr>
        <w:spacing w:after="40" w:before="40" w:line="280"/>
      </w:pPr>
      <w:r>
        <w:t xml:space="preserve">{%p endfor %}</w:t>
      </w:r>
    </w:p>
    <w:p>
      <w:pPr>
        <w:pStyle w:val="Heading3"/>
        <w:spacing w:after="80" w:before="200"/>
      </w:pPr>
      <w:r>
        <w:rPr>
          <w:rFonts w:ascii="Calibri" w:cs="Calibri" w:eastAsia="Calibri" w:hAnsi="Calibri"/>
          <w:b/>
          <w:bCs/>
          <w:color w:val="1F2937"/>
          <w:sz w:val="22"/>
          <w:szCs w:val="22"/>
        </w:rPr>
        <w:t xml:space="preserve">Operational Sequence</w:t>
      </w:r>
    </w:p>
    <w:p>
      <w:pPr>
        <w:spacing w:after="60" w:before="60" w:line="300"/>
        <w:jc w:val="left"/>
      </w:pPr>
      <w:r>
        <w:rPr>
          <w:rFonts w:ascii="Calibri" w:cs="Calibri" w:eastAsia="Calibri" w:hAnsi="Calibri"/>
        </w:rPr>
        <w:t>{{ operational_sequence_text }}</w:t>
      </w:r>
    </w:p>
    <w:p>
      <w:pPr>
        <w:pStyle w:val="Heading3"/>
        <w:spacing w:after="80" w:before="200"/>
      </w:pPr>
      <w:r>
        <w:rPr>
          <w:rFonts w:ascii="Calibri" w:cs="Calibri" w:eastAsia="Calibri" w:hAnsi="Calibri"/>
          <w:b/>
          <w:bCs/>
          <w:color w:val="1F2937"/>
          <w:sz w:val="22"/>
          <w:szCs w:val="22"/>
        </w:rPr>
        <w:t xml:space="preserve">Electrical Control Panel</w:t>
      </w:r>
    </w:p>
    <w:p>
      <w:pPr>
        <w:spacing w:after="60" w:before="60" w:line="300"/>
        <w:jc w:val="left"/>
      </w:pPr>
      <w:r>
        <w:rPr>
          <w:rFonts w:ascii="Calibri" w:cs="Calibri" w:eastAsia="Calibri" w:hAnsi="Calibri"/>
        </w:rPr>
        <w:t xml:space="preserve">One electrical control panel will be supplied along with the system. All electrical equipment will conform to Indian Electricity Regulations for safety, earthing, etc., and the panel box will conform to IP54 protection.</w:t>
      </w:r>
    </w:p>
    <w:p>
      <w:pPr>
        <w:spacing w:after="40" w:before="60" w:line="300"/>
        <w:jc w:val="left"/>
      </w:pPr>
      <w:r>
        <w:rPr>
          <w:rFonts w:ascii="Calibri" w:cs="Calibri" w:eastAsia="Calibri" w:hAnsi="Calibri"/>
        </w:rPr>
        <w:t xml:space="preserve">The control panel will include the following main items:</w:t>
      </w:r>
    </w:p>
    <w:p>
      <w:pPr>
        <w:pStyle w:val="ListParagraph"/>
        <w:numPr>
          <w:ilvl w:val="0"/>
          <w:numId w:val="2"/>
        </w:numPr>
        <w:spacing w:after="40" w:before="40" w:line="280"/>
      </w:pPr>
      <w:r>
        <w:rPr>
          <w:rFonts w:ascii="Calibri" w:cs="Calibri" w:eastAsia="Calibri" w:hAnsi="Calibri"/>
          <w:sz w:val="22"/>
          <w:szCs w:val="22"/>
        </w:rPr>
        <w:t xml:space="preserve">Ammeter and voltmeter of suitable capacity</w:t>
      </w:r>
    </w:p>
    <w:p>
      <w:pPr>
        <w:pStyle w:val="ListParagraph"/>
        <w:numPr>
          <w:ilvl w:val="0"/>
          <w:numId w:val="2"/>
        </w:numPr>
        <w:spacing w:after="40" w:before="40" w:line="280"/>
      </w:pPr>
      <w:r>
        <w:rPr>
          <w:rFonts w:ascii="Calibri" w:cs="Calibri" w:eastAsia="Calibri" w:hAnsi="Calibri"/>
          <w:sz w:val="22"/>
          <w:szCs w:val="22"/>
        </w:rPr>
        <w:t xml:space="preserve">Combustion air blower start/stop push buttons</w:t>
      </w:r>
    </w:p>
    <w:p>
      <w:pPr>
        <w:pStyle w:val="ListParagraph"/>
        <w:numPr>
          <w:ilvl w:val="0"/>
          <w:numId w:val="2"/>
        </w:numPr>
        <w:spacing w:after="40" w:before="40" w:line="280"/>
      </w:pPr>
      <w:r>
        <w:rPr>
          <w:rFonts w:ascii="Calibri" w:cs="Calibri" w:eastAsia="Calibri" w:hAnsi="Calibri"/>
          <w:sz w:val="22"/>
          <w:szCs w:val="22"/>
        </w:rPr>
        <w:t xml:space="preserve">Indicating lamps and fuses</w:t>
      </w:r>
    </w:p>
    <w:p>
      <w:pPr>
        <w:pStyle w:val="ListParagraph"/>
        <w:numPr>
          <w:ilvl w:val="0"/>
          <w:numId w:val="2"/>
        </w:numPr>
        <w:spacing w:after="40" w:before="40" w:line="280"/>
      </w:pPr>
      <w:r>
        <w:rPr>
          <w:rFonts w:ascii="Calibri" w:cs="Calibri" w:eastAsia="Calibri" w:hAnsi="Calibri"/>
          <w:sz w:val="22"/>
          <w:szCs w:val="22"/>
        </w:rPr>
        <w:t xml:space="preserve">Safety relays and contactors</w:t>
      </w:r>
    </w:p>
    <w:p>
      <w:pPr>
        <w:pStyle w:val="ListParagraph"/>
        <w:numPr>
          <w:ilvl w:val="0"/>
          <w:numId w:val="2"/>
        </w:numPr>
        <w:spacing w:after="40" w:before="40" w:line="280"/>
      </w:pPr>
      <w:r>
        <w:t xml:space="preserve">{%p if control_mode != "manual" %}</w:t>
      </w:r>
    </w:p>
    <w:p>
      <w:pPr>
        <w:pStyle w:val="ListParagraph"/>
        <w:numPr>
          <w:ilvl w:val="0"/>
          <w:numId w:val="2"/>
        </w:numPr>
        <w:spacing w:after="40" w:before="40" w:line="280"/>
      </w:pPr>
      <w:r>
        <w:rPr>
          <w:rFonts w:ascii="Calibri" w:cs="Calibri" w:eastAsia="Calibri" w:hAnsi="Calibri"/>
          <w:sz w:val="22"/>
          <w:szCs w:val="22"/>
        </w:rPr>
        <w:t>{% if auto_control_type == "pid" %}PID{% else %}PLC (Siemens S7-1200){% endif %}</w:t>
      </w:r>
    </w:p>
    <w:p>
      <w:pPr>
        <w:pStyle w:val="ListParagraph"/>
        <w:numPr>
          <w:ilvl w:val="0"/>
          <w:numId w:val="2"/>
        </w:numPr>
        <w:spacing w:after="40" w:before="40" w:line="280"/>
      </w:pPr>
      <w:r>
        <w:t xml:space="preserve">{%p endif %}</w:t>
      </w:r>
    </w:p>
    <w:p>
      <w:pPr>
        <w:pStyle w:val="ListParagraph"/>
        <w:numPr>
          <w:ilvl w:val="0"/>
          <w:numId w:val="2"/>
        </w:numPr>
        <w:spacing w:after="40" w:before="40" w:line="280"/>
      </w:pPr>
      <w:r>
        <w:rPr>
          <w:rFonts w:ascii="Calibri" w:cs="Calibri" w:eastAsia="Calibri" w:hAnsi="Calibri"/>
          <w:sz w:val="22"/>
          <w:szCs w:val="22"/>
        </w:rPr>
        <w:t xml:space="preserve">MCBs of suitable capacity</w:t>
      </w:r>
    </w:p>
    <w:p>
      <w:pPr>
        <w:pStyle w:val="ListParagraph"/>
        <w:numPr>
          <w:ilvl w:val="0"/>
          <w:numId w:val="2"/>
        </w:numPr>
        <w:spacing w:after="40" w:before="40" w:line="280"/>
      </w:pPr>
      <w:r>
        <w:rPr>
          <w:rFonts w:ascii="Calibri" w:cs="Calibri" w:eastAsia="Calibri" w:hAnsi="Calibri"/>
          <w:sz w:val="22"/>
          <w:szCs w:val="22"/>
        </w:rPr>
        <w:t xml:space="preserve">Burner control unit for pilot burner</w:t>
      </w:r>
    </w:p>
    <w:p>
      <w:pPr>
        <w:pStyle w:val="ListParagraph"/>
        <w:numPr>
          <w:ilvl w:val="0"/>
          <w:numId w:val="2"/>
        </w:numPr>
        <w:spacing w:after="40" w:before="40" w:line="280"/>
      </w:pPr>
      <w:r>
        <w:rPr>
          <w:rFonts w:ascii="Calibri" w:cs="Calibri" w:eastAsia="Calibri" w:hAnsi="Calibri"/>
          <w:sz w:val="22"/>
          <w:szCs w:val="22"/>
        </w:rPr>
        <w:t xml:space="preserve">Inching push buttons for hydraulic cylinder operation</w:t>
      </w:r>
    </w:p>
    <w:p>
      <w:pPr>
        <w:pStyle w:val="Heading3"/>
        <w:spacing w:after="80" w:before="200"/>
      </w:pPr>
      <w:r>
        <w:rPr>
          <w:rFonts w:ascii="Calibri" w:cs="Calibri" w:eastAsia="Calibri" w:hAnsi="Calibri"/>
          <w:b/>
          <w:bCs/>
          <w:color w:val="1F2937"/>
          <w:sz w:val="22"/>
          <w:szCs w:val="22"/>
        </w:rPr>
        <w:t xml:space="preserve">Pipeline</w:t>
      </w:r>
    </w:p>
    <w:p>
      <w:pPr>
        <w:spacing w:after="60" w:before="60" w:line="300"/>
        <w:jc w:val="left"/>
      </w:pPr>
      <w:r>
        <w:rPr>
          <w:rFonts w:ascii="Calibri" w:cs="Calibri" w:eastAsia="Calibri" w:hAnsi="Calibri"/>
        </w:rPr>
        <w:t xml:space="preserve">The scope of supply of pipelines includes the combustion-air pipeline from blower to burner, and the gas pipeline from gas train to burner.</w:t>
      </w:r>
    </w:p>
    <w:p>
      <w:pPr>
        <w:pStyle w:val="Heading3"/>
        <w:spacing w:after="80" w:before="200"/>
      </w:pPr>
      <w:r>
        <w:rPr>
          <w:rFonts w:ascii="Calibri" w:cs="Calibri" w:eastAsia="Calibri" w:hAnsi="Calibri"/>
          <w:b/>
          <w:bCs/>
          <w:color w:val="1F2937"/>
          <w:sz w:val="22"/>
          <w:szCs w:val="22"/>
        </w:rPr>
        <w:t xml:space="preserve">Painting</w:t>
      </w:r>
    </w:p>
    <w:p>
      <w:pPr>
        <w:spacing w:after="60" w:before="60" w:line="300"/>
        <w:jc w:val="left"/>
      </w:pPr>
      <w:r>
        <w:rPr>
          <w:rFonts w:ascii="Calibri" w:cs="Calibri" w:eastAsia="Calibri" w:hAnsi="Calibri"/>
        </w:rPr>
        <w:t xml:space="preserve">All steel material will be painted, and surfaces will be cleaned per the general painting specifications provided by the client. All bought-out components will retain the supplier’s standard finish. Pipelines will be painted as per the colour code.</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 — Scope of Supply</w:t>
      </w:r>
    </w:p>
    <w:p>
      <w:pPr>
        <w:spacing w:after="160" w:before="60" w:line="300"/>
        <w:jc w:val="left"/>
      </w:pPr>
      <w:r>
        <w:rPr>
          <w:rFonts w:ascii="Calibri" w:cs="Calibri" w:eastAsia="Calibri" w:hAnsi="Calibri"/>
        </w:rPr>
        <w:t xml:space="preserve">The scope of supply covers design, engineering, manufacturing, supply, and supervision for erection and commissioning of the system, consisting of the following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r>
      <w:tr>
        <w:tc>
          <w:tcPr>
            <w:tcW w:type="dxa" w:w="9360"/>
            <w:gridSpan w:val="2"/>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center"/>
            </w:pPr>
            <w:r>
              <w:t>{{equipment_name}}  —  {{qty_label_vertical}}</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 with burner block &amp; mounting plate ({{fuel_name}})</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2</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hood with ceramic-fibre lining and supporting structure (column, arm, and base)</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3</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is_oil %}ENCON Film Burner{% elif is_dual %}ENCON Dual Burner{% else %}ENCON Gas Burner{% endif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4</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ignition_scope_text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5</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Gas train with pressure-regulating and control valves</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6</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Hydraulic cylinder for lifting and lowering of the system</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7</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Combustion air blower</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8</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temp_control_scope_text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9</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flow_meter_scope_text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10</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pipeline_scope_text }}</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II — Exclusions</w:t>
      </w:r>
    </w:p>
    <w:p>
      <w:pPr>
        <w:spacing w:after="160" w:before="60" w:line="300"/>
        <w:jc w:val="left"/>
      </w:pPr>
      <w:r>
        <w:rPr>
          <w:rFonts w:ascii="Calibri" w:cs="Calibri" w:eastAsia="Calibri" w:hAnsi="Calibri"/>
        </w:rPr>
        <w:t xml:space="preserve">All parts and services not specifically mentioned in the Scope of Supply are excluded, including but not limited to:</w:t>
      </w:r>
    </w:p>
    <w:p>
      <w:pPr>
        <w:pStyle w:val="ListParagraph"/>
        <w:numPr>
          <w:ilvl w:val="0"/>
          <w:numId w:val="2"/>
        </w:numPr>
        <w:spacing w:after="40" w:before="40" w:line="280"/>
      </w:pPr>
      <w:r>
        <w:rPr>
          <w:rFonts w:ascii="Calibri" w:cs="Calibri" w:eastAsia="Calibri" w:hAnsi="Calibri"/>
          <w:sz w:val="22"/>
          <w:szCs w:val="22"/>
        </w:rPr>
        <w:t xml:space="preserve">Pipeline / piping from T.O.P to inlet of pumping unit</w:t>
      </w:r>
    </w:p>
    <w:p>
      <w:pPr>
        <w:pStyle w:val="ListParagraph"/>
        <w:numPr>
          <w:ilvl w:val="0"/>
          <w:numId w:val="2"/>
        </w:numPr>
        <w:spacing w:after="40" w:before="40" w:line="280"/>
      </w:pPr>
      <w:r>
        <w:rPr>
          <w:rFonts w:ascii="Calibri" w:cs="Calibri" w:eastAsia="Calibri" w:hAnsi="Calibri"/>
          <w:sz w:val="22"/>
          <w:szCs w:val="22"/>
        </w:rPr>
        <w:t xml:space="preserve">Civil work, cabling, and piping work</w:t>
      </w:r>
    </w:p>
    <w:p>
      <w:pPr>
        <w:pStyle w:val="ListParagraph"/>
        <w:numPr>
          <w:ilvl w:val="0"/>
          <w:numId w:val="2"/>
        </w:numPr>
        <w:spacing w:after="40" w:before="40" w:line="280"/>
      </w:pPr>
      <w:r>
        <w:rPr>
          <w:rFonts w:ascii="Calibri" w:cs="Calibri" w:eastAsia="Calibri" w:hAnsi="Calibri"/>
          <w:sz w:val="22"/>
          <w:szCs w:val="22"/>
        </w:rPr>
        <w:t xml:space="preserve">Any fume-extraction system</w:t>
      </w:r>
    </w:p>
    <w:p>
      <w:pPr>
        <w:pStyle w:val="ListParagraph"/>
        <w:numPr>
          <w:ilvl w:val="0"/>
          <w:numId w:val="2"/>
        </w:numPr>
        <w:spacing w:after="40" w:before="40" w:line="280"/>
      </w:pPr>
      <w:r>
        <w:rPr>
          <w:rFonts w:ascii="Calibri" w:cs="Calibri" w:eastAsia="Calibri" w:hAnsi="Calibri"/>
          <w:sz w:val="22"/>
          <w:szCs w:val="22"/>
        </w:rPr>
        <w:t xml:space="preserve">Any material-handling equipment</w:t>
      </w:r>
    </w:p>
    <w:p>
      <w:pPr>
        <w:pStyle w:val="ListParagraph"/>
        <w:numPr>
          <w:ilvl w:val="0"/>
          <w:numId w:val="2"/>
        </w:numPr>
        <w:spacing w:after="40" w:before="40" w:line="280"/>
      </w:pPr>
      <w:r>
        <w:rPr>
          <w:rFonts w:ascii="Calibri" w:cs="Calibri" w:eastAsia="Calibri" w:hAnsi="Calibri"/>
          <w:sz w:val="22"/>
          <w:szCs w:val="22"/>
        </w:rPr>
        <w:t xml:space="preserve">Foundation bolts for column / structure</w:t>
      </w:r>
    </w:p>
    <w:p>
      <w:pPr>
        <w:pStyle w:val="ListParagraph"/>
        <w:numPr>
          <w:ilvl w:val="0"/>
          <w:numId w:val="2"/>
        </w:numPr>
        <w:spacing w:after="40" w:before="40" w:line="280"/>
      </w:pPr>
      <w:r>
        <w:rPr>
          <w:rFonts w:ascii="Calibri" w:cs="Calibri" w:eastAsia="Calibri" w:hAnsi="Calibri"/>
          <w:sz w:val="22"/>
          <w:szCs w:val="22"/>
        </w:rPr>
        <w:t xml:space="preserve">Ladle stand / support</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{{equipment_name}}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center"/>
            </w:pPr>
            <w:r>
              <w:rPr>
                <w:rFonts w:ascii="Calibri" w:cs="Calibri" w:eastAsia="Calibri" w:hAnsi="Calibri"/>
                <w:b/>
                <w:bCs/>
                <w:sz w:val="22"/>
                <w:szCs w:val="22"/>
              </w:rPr>
              <w:t xml:space="preserve">2</w:t>
            </w:r>
          </w:p>
        </w:tc>
        <w:tc>
          <w:tcPr>
            <w:tcW w:type="dxa" w:w="4080"/>
            <w:gridSpan w:val="4"/>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60" w:before="40"/>
            </w:pPr>
            <w:r>
              <w:t>Supervision Charges for Erection and Commissioning. Erection by client; supervision by ENCON. Per-day rates: INR {{supervision_mech}} (Mechanical), INR {{supervision_plc}} (PLC and Instrumentation). To-and-fro fare from Delhi to site, plus boarding, lodging, local conveyance, and medical assistance if required.</w:t>
            </w:r>
          </w:p>
        </w:tc>
      </w:tr>
      <w:tr>
        <w:tc>
          <w:tcPr>
            <w:tcW w:type="dxa" w:w="7660"/>
            <w:gridSpan w:val="4"/>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right"/>
            </w:pPr>
            <w:r/>
          </w:p>
        </w:tc>
        <w:tc>
          <w:tcPr>
            <w:tcW w:type="dxa" w:w="1700"/>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right"/>
            </w:pPr>
            <w:r/>
          </w:p>
        </w:tc>
      </w:tr>
      <w:tr>
        <w:tc>
          <w:tcPr>
            <w:tcW w:type="dxa" w:w="9360"/>
            <w:gridSpan w:val="5"/>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IV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Ex-Works Bhagola, Dist. Palwal, Haryana — unpacked.</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10 – 12 weeks from our ENCON works, from the date of receipt of advance or drawing approval, whichever is later.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18% extra.</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84541000</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PAN: AAACE0327M  |  GST: 06AAACE0327M1ZV</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pStyle w:val="ListParagraph"/>
              <w:numPr>
                <w:ilvl w:val="0"/>
                <w:numId w:val="2"/>
              </w:numPr>
              <w:spacing w:after="40" w:before="40"/>
            </w:pPr>
            <w:r>
              <w:rPr>
                <w:rFonts w:ascii="Calibri" w:cs="Calibri" w:eastAsia="Calibri" w:hAnsi="Calibri"/>
                <w:sz w:val="22"/>
                <w:szCs w:val="22"/>
              </w:rPr>
              <w:t xml:space="preserve">30% advance with the purchase order</w:t>
            </w:r>
          </w:p>
          <w:p>
            <w:pPr>
              <w:pStyle w:val="ListParagraph"/>
              <w:numPr>
                <w:ilvl w:val="0"/>
                <w:numId w:val="2"/>
              </w:numPr>
              <w:spacing w:after="40" w:before="20"/>
            </w:pPr>
            <w:r>
              <w:rPr>
                <w:rFonts w:ascii="Calibri" w:cs="Calibri" w:eastAsia="Calibri" w:hAnsi="Calibri"/>
                <w:sz w:val="22"/>
                <w:szCs w:val="22"/>
              </w:rPr>
              <w:t xml:space="preserve">70% against proforma invoice prior to dispatch</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 and 2% respectively.</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In client’s scope.</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To be arranged by the client.</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45 days from the date of our offer.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If required, materials can be inspected at our works before dispatch, at the client’s cost and with prior intimation.</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Materials are guaranteed for 18 months from the date of dispatch, or 12 months from the date of commissioning, whichever is earlier — against any manufacturing defects or poor workmanship.</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V — Reference List of Clients</w:t>
      </w:r>
    </w:p>
    <w:p>
      <w:pPr>
        <w:spacing w:after="160" w:before="60" w:line="300"/>
        <w:jc w:val="left"/>
      </w:pPr>
      <w:r>
        <w:rPr>
          <w:rFonts w:ascii="Calibri" w:cs="Calibri" w:eastAsia="Calibri" w:hAnsi="Calibri"/>
        </w:rPr>
        <w:t xml:space="preserve">ENCON has supplied ladle preheating systems to leading steel and casting houses across India and overseas. A representative list is provided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3580"/>
        <w:gridCol w:w="50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35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Client</w:t>
            </w:r>
          </w:p>
        </w:tc>
        <w:tc>
          <w:tcPr>
            <w:tcW w:type="dxa" w:w="50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Application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Co. LLC, Abu Dhabi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Rourkela Steel Plant, Rourkela</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 Bellary</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BMM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Horizontal Ladle Preheater - 15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Siemens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 &amp; P Division 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- 30 MT</w:t>
            </w:r>
          </w:p>
          <w:p>
            <w:pPr>
              <w:spacing w:after="40" w:before="40"/>
              <w:jc w:val="left"/>
            </w:pPr>
            <w:r>
              <w:rPr>
                <w:rFonts w:ascii="Calibri" w:cs="Calibri" w:eastAsia="Calibri" w:hAnsi="Calibri"/>
                <w:sz w:val="22"/>
                <w:szCs w:val="22"/>
              </w:rPr>
              <w:t xml:space="preserve">Vertical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Hill Metal Est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Gunung Raja Paksi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Kalyani Carpenter Special Steel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Shadeed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Saarloha Advanced Materials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GPH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SMS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BSRM Steel Mills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Bhilai Steel Plant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- 22 MT</w:t>
            </w:r>
          </w:p>
          <w:p>
            <w:pPr>
              <w:spacing w:after="40" w:before="40"/>
              <w:jc w:val="left"/>
            </w:pPr>
            <w:r>
              <w:rPr>
                <w:rFonts w:ascii="Calibri" w:cs="Calibri" w:eastAsia="Calibri" w:hAnsi="Calibri"/>
                <w:sz w:val="22"/>
                <w:szCs w:val="22"/>
              </w:rPr>
              <w:t xml:space="preserve">Vertical Ladle Preheater - 22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 A/c Primetals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Steel Re-Rolling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Kisco Castings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- 11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 ( 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 - 45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- 45 MT</w:t>
            </w:r>
          </w:p>
          <w:p>
            <w:pPr>
              <w:spacing w:after="40" w:before="40"/>
              <w:jc w:val="left"/>
            </w:pPr>
            <w:r>
              <w:rPr>
                <w:rFonts w:ascii="Calibri" w:cs="Calibri" w:eastAsia="Calibri" w:hAnsi="Calibri"/>
                <w:sz w:val="22"/>
                <w:szCs w:val="22"/>
              </w:rPr>
              <w:t xml:space="preserve">Horizontal Ladle Preheater - 250 MT</w:t>
            </w:r>
          </w:p>
          <w:p>
            <w:pPr>
              <w:spacing w:after="40" w:before="40"/>
              <w:jc w:val="left"/>
            </w:pPr>
            <w:r>
              <w:rPr>
                <w:rFonts w:ascii="Calibri" w:cs="Calibri" w:eastAsia="Calibri" w:hAnsi="Calibri"/>
                <w:sz w:val="22"/>
                <w:szCs w:val="22"/>
              </w:rPr>
              <w:t xml:space="preserve">Vertical Ladle Preheater - 250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Tata Steel Long Products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- 70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Power Steel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- 150 MT</w:t>
            </w:r>
          </w:p>
          <w:p>
            <w:pPr>
              <w:spacing w:after="40" w:before="40"/>
              <w:jc w:val="left"/>
            </w:pPr>
            <w:r>
              <w:rPr>
                <w:rFonts w:ascii="Calibri" w:cs="Calibri" w:eastAsia="Calibri" w:hAnsi="Calibri"/>
                <w:sz w:val="22"/>
                <w:szCs w:val="22"/>
              </w:rPr>
              <w:t xml:space="preserve">Horizontal Ladle Preheater - 130 MT</w:t>
            </w:r>
          </w:p>
          <w:p>
            <w:pPr>
              <w:spacing w:after="40" w:before="40"/>
              <w:jc w:val="left"/>
            </w:pPr>
            <w:r>
              <w:rPr>
                <w:rFonts w:ascii="Calibri" w:cs="Calibri" w:eastAsia="Calibri" w:hAnsi="Calibri"/>
                <w:sz w:val="22"/>
                <w:szCs w:val="22"/>
              </w:rPr>
              <w:t xml:space="preserve">Vertical Ladle Preheater - 150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Industries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- 65 MT</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Aarti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Action Ispat And Power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Re 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Amic Forging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Lloyds Engineering Works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- 50 MT</w:t>
            </w:r>
          </w:p>
          <w:p>
            <w:pPr>
              <w:spacing w:after="40" w:before="40"/>
              <w:jc w:val="left"/>
            </w:pPr>
            <w:r>
              <w:rPr>
                <w:rFonts w:ascii="Calibri" w:cs="Calibri" w:eastAsia="Calibri" w:hAnsi="Calibri"/>
                <w:sz w:val="22"/>
                <w:szCs w:val="22"/>
              </w:rPr>
              <w:t xml:space="preserve">Vertical Ladle Preheater - 40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Muhaj Baghdad Co.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Topworth Steels &amp; Power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Sohar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Quality Industries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- 30 MT</w:t>
            </w:r>
          </w:p>
          <w:p>
            <w:pPr>
              <w:spacing w:after="40" w:before="40"/>
              <w:jc w:val="left"/>
            </w:pPr>
            <w:r>
              <w:rPr>
                <w:rFonts w:ascii="Calibri" w:cs="Calibri" w:eastAsia="Calibri" w:hAnsi="Calibri"/>
                <w:sz w:val="22"/>
                <w:szCs w:val="22"/>
              </w:rPr>
              <w:t xml:space="preserve">Horizontal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Garuda Yamato Steel</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Tundish Preheater</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VI — Make List</w:t>
      </w:r>
    </w:p>
    <w:p>
      <w:pPr>
        <w:spacing w:after="160" w:before="60" w:line="300"/>
        <w:jc w:val="left"/>
      </w:pPr>
      <w:r>
        <w:rPr>
          <w:rFonts w:ascii="Calibri" w:cs="Calibri" w:eastAsia="Calibri" w:hAnsi="Calibri"/>
        </w:rPr>
        <w:t xml:space="preserve">The following table lists the approved makes for major bought-out components in the proposed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880"/>
        <w:gridCol w:w="3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8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3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Make</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Mild Steel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SAIL, Jindal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Gauge with TNV</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WIKA</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Switch</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Ball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Pneumatic Control Valve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Butterfly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Rotary Joint</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Mix Gas Train</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Flexible Hose Pipe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BIL / Flexible</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Thermocouple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Compensating Lead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Limit Switches</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Control Panel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Hydraulic Power Pack &amp; Cylinder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Varitech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Temperature Transmitter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Burner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Pilot Burner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Bearing</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FAG / SKF</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UV Sensor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Ignition Transformer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COFI / Danfoss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Sequence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ABB</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Gearbox</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Powertek</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P.PID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Ratio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Air-Gas Regulator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bl>
    <w:p>
      <w:pPr>
        <w:spacing w:after="240" w:before="240"/>
      </w:pPr>
      <w:r>
        <w:t xml:space="preserve"/>
      </w:r>
    </w:p>
    <w:p>
      <w:pPr>
        <w:spacing w:after="60" w:before="60" w:line="300"/>
        <w:jc w:val="center"/>
      </w:pPr>
      <w:r>
        <w:rPr>
          <w:rFonts w:ascii="Calibri" w:cs="Calibri" w:eastAsia="Calibri" w:hAnsi="Calibri"/>
          <w:i/>
          <w:iCs/>
          <w:color w:val="6B7280"/>
          <w:sz w:val="20"/>
          <w:szCs w:val="20"/>
        </w:rPr>
        <w:t xml:space="preserve">— End of Document —</w:t>
      </w:r>
    </w:p>
    <w:sectPr>
      <w:headerReference w:type="default" r:id="rId9"/>
      <w:footerReference w:type="default" r:id="rId10"/>
      <w:pgSz w:w="12240" w:h="15840" w:orient="portrait"/>
      <w:pgMar w:top="180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600"/>
          <w:tcBorders>
            <w:top w:val="none"/>
            <w:left w:val="none"/>
            <w:bottom w:val="none"/>
            <w:right w:val="none"/>
          </w:tcBorders>
          <w:vAlign w:val="center"/>
        </w:tcPr>
        <w:p>
          <w:pPr>
            <w:jc w:val="left"/>
          </w:pPr>
          <w:r>
            <w:drawing>
              <wp:inline distT="0" distB="0" distL="0" distR="0">
                <wp:extent cx="762000" cy="60960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6096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 xml:space="preserve">Ref: ENCON/Q/2026/008</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