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HYDRAULIC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r>
        <w:rPr>
          <w:b/>
        </w:rPr>
        <w:t xml:space="preserve">HYDRAULIC PUMPING UNIT</w:t>
      </w:r>
    </w:p>
    <w:p>
      <w:r>
        <w:t xml:space="preserve">The offered Hydraulic Pumping Unit is an oil pumping skid designed to deliver fuel oil at the required pressure and flow rate to combustion equipment such as preheater burners, reheating furnaces and bath heaters. The unit is offered in three configurations — Simplex (single pump-motor), Duplex 1 and Duplex 2 (twin pump-motor arrangements with a standby line) — and is built on a common MS skid base with a pre-wired control panel for start / stop, interlocks and indication.</w:t>
      </w:r>
    </w:p>
    <w:p>
      <w:r>
        <w:t xml:space="preserve">Refer to the HPU Specifications table above for the offered configuration and motor capacity. The complete scope of standard accessories shipped with each unit is detailed in Annexure I — Scope of Supply.</w:t>
      </w:r>
    </w:p>
    <w:p>
      <w:pPr>
        <w:pStyle w:val="Heading1"/>
        <w:pBdr>
          <w:bottom w:val="single" w:color="E87722" w:sz="12" w:space="4"/>
        </w:pBdr>
        <w:spacing w:after="200" w:before="360"/>
      </w:pPr>
      <w:r>
        <w:rPr>
          <w:rFonts w:ascii="Calibri" w:cs="Calibri" w:eastAsia="Calibri" w:hAnsi="Calibri"/>
          <w:b/>
          <w:bCs/>
          <w:color w:val="1F2937"/>
          <w:sz w:val="32"/>
          <w:szCs w:val="32"/>
        </w:rPr>
        <w:t>The Scope of supply covers Design, manufacturing and supply of the Hydraulic Pumping Unit as per the specifications listed below. The standard accessories shipped with each unit are itemised in the table that follows.</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trHeight w:val="425" w:hRule="atLeast"/>
        </w:trPr>
        <w:tc>
          <w:tcPr>
            <w:tcW w:type="dxa" w:w="6360"/>
          </w:tcPr>
          <w:p>
            <w:r>
              <w:t>Supervision Charges for Erection and Commissioning (Mechanical)</w:t>
            </w:r>
          </w:p>
        </w:tc>
        <w:tc>
          <w:tcPr>
            <w:tcW w:type="dxa" w:w="3000"/>
          </w:tcPr>
          <w:p>
            <w:r>
              <w:t xml:space="preserve">INR {{ supervision_mech }}</w:t>
            </w:r>
          </w:p>
        </w:tc>
      </w:tr>
      <w:tr>
        <w:trPr>
          <w:trHeight w:val="425" w:hRule="atLeast"/>
        </w:trPr>
        <w:tc>
          <w:tcPr>
            <w:tcW w:type="dxa" w:w="6360"/>
          </w:tcPr>
          <w:p>
            <w:r>
              <w:t>Supervision Charges for Erection and Commissioning (PLC and Instrumentation)</w:t>
            </w:r>
          </w:p>
        </w:tc>
        <w:tc>
          <w:tcPr>
            <w:tcW w:type="dxa" w:w="3000"/>
          </w:tcPr>
          <w:p>
            <w:r>
              <w:t xml:space="preserve">INR {{ supervision_plc }}</w:t>
            </w:r>
          </w:p>
        </w:tc>
      </w:tr>
      <w:tr>
        <w:trPr>
          <w:trHeight w:val="425" w:hRule="atLeast"/>
        </w:trP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