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rFonts w:ascii="Calibri" w:hAnsi="Calibri"/>
          <w:b/>
          <w:bCs/>
          <w:color w:val="1F2937"/>
          <w:sz w:val="30"/>
        </w:rPr>
        <w:br w:type="page"/>
      </w:r>
      <w:r w:rsidR="00BC53B5" w:rsidRPr="00BC53B5">
        <w:rPr>
          <w:rFonts w:ascii="Calibri" w:hAnsi="Calibri" w:cs="Calibri"/>
          <w:b/>
          <w:bCs/>
          <w:color w:val="1F2937"/>
          <w:sz w:val="30"/>
        </w:rPr>
        <w:t>PART</w:t>
      </w:r>
      <w:r w:rsidR="00BC53B5" w:rsidRPr="00BC53B5">
        <w:rPr>
          <w:rFonts w:ascii="Calibri" w:hAnsi="Calibri" w:cs="Calibri"/>
          <w:b/>
          <w:bCs/>
          <w:color w:val="1F2937"/>
          <w:spacing w:val="-2"/>
          <w:sz w:val="30"/>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