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jc w:val="center"/>
      </w:pPr>
      <w:r>
        <w:rPr>
          <w:b/>
          <w:sz w:val="20"/>
        </w:rPr>
        <w:t>Fig 1: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pPr>
        <w:jc w:val="center"/>
      </w:pPr>
      <w:r>
        <w:rPr>
          <w:b/>
          <w:sz w:val="20"/>
        </w:rPr>
        <w:t>Fig 2: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 pressure_clause }}</w:t>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S7-1200/1500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S7-1200/1500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sz w:val="22"/>
              </w:rPr>
              <w:t>{{ tnc_regen_taxes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sz w:val="22"/>
              </w:rPr>
              <w:t>{{ tnc_regen_note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