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jc w:val="center"/>
      </w:pPr>
      <w:r>
        <w:drawing>
          <wp:inline distT="0" distB="0" distL="0" distR="0">
            <wp:extent cx="3619500" cy="28956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895600"/>
                    </a:xfrm>
                    <a:prstGeom prst="rect">
                      <a:avLst/>
                    </a:prstGeom>
                  </pic:spPr>
                </pic:pic>
              </a:graphicData>
            </a:graphic>
          </wp:inline>
        </w:drawing>
      </w:r>
    </w:p>
    <w:p>
      <w:pPr>
        <w:spacing w:before="480" w:after="120"/>
        <w:jc w:val="center"/>
      </w:pPr>
      <w:r>
        <w:rPr>
          <w:rFonts w:ascii="Calibri" w:cs="Calibri" w:eastAsia="Calibri" w:hAnsi="Calibri"/>
          <w:b/>
          <w:bCs/>
          <w:color w:val="1F2937"/>
          <w:sz w:val="36"/>
          <w:szCs w:val="36"/>
          <w:spacing w:val="60"/>
        </w:rPr>
        <w:t xml:space="preserve">OFFER FOR</w:t>
      </w:r>
    </w:p>
    <w:p>
      <w:pPr>
        <w:spacing w:before="0" w:after="48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Enquiry No. / Date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Our Reference</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{{quote_no}}</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Date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{{date}}</w:t>
            </w:r>
          </w:p>
        </w:tc>
      </w:tr>
    </w:tbl>
    <w:p>
      <w:pPr>
        <w:spacing w:before="72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pgSz w:w="12240" w:h="15840" w:orient="portrait"/>
          <w:pgMar w:top="1080" w:right="1080" w:bottom="1080" w:left="1080" w:header="708" w:footer="708" w:gutter="0"/>
          <w:pgNumType/>
          <w:titlePg/>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 xml:space="preserve">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YOUR REF</w:t>
            </w:r>
          </w:p>
        </w:tc>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OUR REF</w:t>
            </w:r>
          </w:p>
        </w:tc>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DATE</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{{your_ref}}</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{{quote_no}}</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{{date}}</w:t>
            </w:r>
          </w:p>
        </w:tc>
      </w:tr>
    </w:tbl>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 xml:space="preserve">We are pleased to enclose herewith our most competitive and comprehensive revised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 xml:space="preserve">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1. Company Profile</w:t>
      </w:r>
    </w:p>
    <w:p>
      <w:pPr>
        <w:pStyle w:val="Heading2"/>
        <w:spacing w:after="120" w:before="280"/>
      </w:pPr>
      <w:r>
        <w:rPr>
          <w:rFonts w:ascii="Calibri" w:cs="Calibri" w:eastAsia="Calibri" w:hAnsi="Calibri"/>
          <w:b/>
          <w:bCs/>
          <w:color w:val="E87722"/>
          <w:sz w:val="26"/>
          <w:szCs w:val="26"/>
        </w:rPr>
        <w:t xml:space="preserve">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 xml:space="preserve">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 xml:space="preserve">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 xml:space="preserve">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 xml:space="preserve">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 xml:space="preserve">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2. About the Client</w:t>
      </w:r>
    </w:p>
    <w:p>
      <w:pPr>
        <w:pStyle w:val="Heading3"/>
        <w:spacing w:after="80" w:before="200"/>
      </w:pPr>
      <w:r>
        <w:rPr>
          <w:rFonts w:ascii="Calibri" w:cs="Calibri" w:eastAsia="Calibri" w:hAnsi="Calibri"/>
          <w:b/>
          <w:bCs/>
          <w:color w:val="1F2937"/>
          <w:sz w:val="22"/>
          <w:szCs w:val="22"/>
        </w:rPr>
        <w:t xml:space="preserve">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 xml:space="preserve">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3. Technical Specifications</w:t>
      </w:r>
    </w:p>
    <w:p>
      <w:pPr>
        <w:pStyle w:val="Heading2"/>
        <w:spacing w:after="120" w:before="280"/>
      </w:pPr>
      <w:r>
        <w:rPr>
          <w:rFonts w:ascii="Calibri" w:cs="Calibri" w:eastAsia="Calibri" w:hAnsi="Calibri"/>
          <w:b/>
          <w:bCs/>
          <w:color w:val="E87722"/>
          <w:sz w:val="26"/>
          <w:szCs w:val="26"/>
        </w:rPr>
        <w:t xml:space="preserve">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Firing Rate (R1)</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 Capacity (R1)</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{{burner_kw}}</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else %}PLC{% endif %}{% endif %}</w:t>
            </w:r>
          </w:p>
        </w:tc>
      </w:tr>
    </w:tbl>
    <w:p>
      <w:pPr>
        <w:spacing w:after="200" w:before="200"/>
      </w:pPr>
      <w:r>
        <w:t xml:space="preserve"/>
      </w:r>
    </w:p>
    <w:p>
      <w:r>
        <w:br w:type="page"/>
      </w:r>
    </w:p>
    <w:p>
      <w:pPr>
        <w:pStyle w:val="Heading2"/>
        <w:spacing w:after="120" w:before="280"/>
      </w:pPr>
      <w:r>
        <w:rPr>
          <w:rFonts w:ascii="Calibri" w:cs="Calibri" w:eastAsia="Calibri" w:hAnsi="Calibri"/>
          <w:b/>
          <w:bCs/>
          <w:color w:val="E87722"/>
          <w:sz w:val="26"/>
          <w:szCs w:val="26"/>
        </w:rPr>
        <w:t xml:space="preserve">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 xml:space="preserve">Ladle Hood with Arm</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 xml:space="preserve">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rPr>
          <w:rFonts w:ascii="Calibri" w:cs="Calibri" w:eastAsia="Calibri" w:hAnsi="Calibri"/>
          <w:b/>
          <w:bCs/>
          <w:color w:val="1F2937"/>
          <w:sz w:val="22"/>
          <w:szCs w:val="22"/>
        </w:rPr>
        <w:t xml:space="preserve">Lifting &amp; Lowering Mechanism</w:t>
      </w:r>
    </w:p>
    <w:p>
      <w:pPr>
        <w:spacing w:after="60" w:before="60" w:line="300"/>
        <w:jc w:val="left"/>
      </w:pPr>
      <w:r>
        <w:rPr>
          <w:rFonts w:ascii="Calibri" w:cs="Calibri" w:eastAsia="Calibri" w:hAnsi="Calibri"/>
        </w:rPr>
        <w:t xml:space="preserve">The lifting/lowering mechanism of the hood will be operated by a hydraulic cylinder and power pack. The maximum lift and lower travel will be governed through limit switches. An additional mechanical locking arrangement will prevent the hood from dropping in case of hydraulic failure. The hydraulic system will consist of an oil tank, oil pump with motor, suction strainer, pressure gauges with thumb-operated needle valve, directional valves, pilot-operated check valves, pressure hoses, level switch, return-line filter, all filters with clogging switch and indicator, pressure-relief valve, pressure switch, and temperature gauge.</w:t>
      </w:r>
    </w:p>
    <w:p>
      <w:pPr>
        <w:pStyle w:val="Heading3"/>
        <w:spacing w:after="80" w:before="200"/>
      </w:pPr>
      <w:r>
        <w:rPr>
          <w:rFonts w:ascii="Calibri" w:cs="Calibri" w:eastAsia="Calibri" w:hAnsi="Calibri"/>
          <w:b/>
          <w:bCs/>
          <w:color w:val="1F2937"/>
          <w:sz w:val="22"/>
          <w:szCs w:val="22"/>
        </w:rPr>
        <w:t xml:space="preserve">Hydraulic System</w:t>
      </w:r>
    </w:p>
    <w:p>
      <w:pPr>
        <w:spacing w:after="60" w:before="60" w:line="300"/>
        <w:jc w:val="left"/>
      </w:pPr>
      <w:r>
        <w:rPr>
          <w:rFonts w:ascii="Calibri" w:cs="Calibri" w:eastAsia="Calibri" w:hAnsi="Calibri"/>
        </w:rPr>
        <w:t xml:space="preserve">To remove the ladle easily after drying/heating, the system provides “up and down” movement of the hood. Lifting/lowering is performed by a single-acting (push) hydraulic cylinder fitted in the column with a dedicated power pack. Limit switches LS1 and LS2 will indicate parking and working positions respectively. The maximum lift of the arm is 85° from its parking position. One dedicated power pack of suitable capacity will be provided for operating the hydraulic cylinder.</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{{equipment_name}}, we will supply 1 No. of ENCON burner of {{burner_kw}}.</w:t>
      </w:r>
    </w:p>
    <w:p>
      <w:pPr>
        <w:spacing w:after="60" w:before="60" w:line="300"/>
        <w:jc w:val="left"/>
      </w:pPr>
      <w:r>
        <w:t xml:space="preserve">{%p if is_oil or is_dual %}</w:t>
      </w:r>
    </w:p>
    <w:p>
      <w:pPr>
        <w:pStyle w:val="Heading3"/>
        <w:spacing w:after="80" w:before="200"/>
      </w:pPr>
      <w: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spacing w:after="60" w:before="60" w:line="300"/>
        <w:jc w:val="left"/>
      </w:pPr>
      <w:r>
        <w:t xml:space="preserve">{%p endfor %}</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xml:space="preserve">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pStyle w:val="Heading3"/>
        <w:spacing w:after="80" w:before="200"/>
      </w:pPr>
      <w:r>
        <w:rPr>
          <w:rFonts w:ascii="Calibri" w:cs="Calibri" w:eastAsia="Calibri" w:hAnsi="Calibri"/>
          <w:b/>
          <w:bCs/>
          <w:color w:val="1F2937"/>
          <w:sz w:val="22"/>
          <w:szCs w:val="22"/>
        </w:rPr>
        <w:t xml:space="preserve">Air Train for Main Burner</w:t>
      </w:r>
    </w:p>
    <w:p>
      <w:pPr>
        <w:spacing w:after="40" w:before="60" w:line="300"/>
        <w:jc w:val="left"/>
      </w:pPr>
      <w:r>
        <w:rPr>
          <w:rFonts w:ascii="Calibri" w:cs="Calibri" w:eastAsia="Calibri" w:hAnsi="Calibri"/>
        </w:rPr>
        <w:t xml:space="preserve">The air train consists of the following main components:</w:t>
      </w:r>
    </w:p>
    <w:p>
      <w:pPr>
        <w:pStyle w:val="ListParagraph"/>
        <w:numPr>
          <w:ilvl w:val="0"/>
          <w:numId w:val="2"/>
        </w:numPr>
        <w:spacing w:after="40" w:before="40" w:line="280"/>
      </w:pPr>
      <w:r>
        <w:rPr>
          <w:rFonts w:ascii="Calibri" w:cs="Calibri" w:eastAsia="Calibri" w:hAnsi="Calibri"/>
          <w:sz w:val="22"/>
          <w:szCs w:val="22"/>
        </w:rPr>
        <w:t xml:space="preserve">Pressure gauge with manual cock</w:t>
      </w:r>
    </w:p>
    <w:p>
      <w:pPr>
        <w:pStyle w:val="ListParagraph"/>
        <w:numPr>
          <w:ilvl w:val="0"/>
          <w:numId w:val="2"/>
        </w:numPr>
        <w:spacing w:after="40" w:before="40" w:line="280"/>
      </w:pPr>
      <w:r>
        <w:rPr>
          <w:rFonts w:ascii="Calibri" w:cs="Calibri" w:eastAsia="Calibri" w:hAnsi="Calibri"/>
          <w:sz w:val="22"/>
          <w:szCs w:val="22"/>
        </w:rPr>
        <w:t xml:space="preserve">Orifice plate with DPT</w:t>
      </w:r>
    </w:p>
    <w:p>
      <w:pPr>
        <w:pStyle w:val="ListParagraph"/>
        <w:numPr>
          <w:ilvl w:val="0"/>
          <w:numId w:val="2"/>
        </w:numPr>
        <w:spacing w:after="40" w:before="40" w:line="280"/>
      </w:pPr>
      <w:r>
        <w:rPr>
          <w:rFonts w:ascii="Calibri" w:cs="Calibri" w:eastAsia="Calibri" w:hAnsi="Calibri"/>
          <w:sz w:val="22"/>
          <w:szCs w:val="22"/>
        </w:rPr>
        <w:t xml:space="preserve">Pneumatic flow-control valve</w:t>
      </w:r>
    </w:p>
    <w:p>
      <w:pPr>
        <w:pStyle w:val="ListParagraph"/>
        <w:numPr>
          <w:ilvl w:val="0"/>
          <w:numId w:val="2"/>
        </w:numPr>
        <w:spacing w:after="40" w:before="40" w:line="280"/>
      </w:pPr>
      <w:r>
        <w:rPr>
          <w:rFonts w:ascii="Calibri" w:cs="Calibri" w:eastAsia="Calibri" w:hAnsi="Calibri"/>
          <w:sz w:val="22"/>
          <w:szCs w:val="22"/>
        </w:rPr>
        <w:t xml:space="preserve">Butterfly valve (BFV)</w:t>
      </w:r>
    </w:p>
    <w:p>
      <w:pPr>
        <w:pStyle w:val="Heading3"/>
        <w:spacing w:after="80" w:before="200"/>
      </w:pPr>
      <w:r>
        <w:rPr>
          <w:rFonts w:ascii="Calibri" w:cs="Calibri" w:eastAsia="Calibri" w:hAnsi="Calibri"/>
          <w:b/>
          <w:bCs/>
          <w:color w:val="1F2937"/>
          <w:sz w:val="22"/>
          <w:szCs w:val="22"/>
        </w:rPr>
        <w:t xml:space="preserve">Burner Control System</w:t>
      </w:r>
    </w:p>
    <w:p>
      <w:pPr>
        <w:pStyle w:val="ListParagraph"/>
        <w:numPr>
          <w:ilvl w:val="0"/>
          <w:numId w:val="2"/>
        </w:numPr>
        <w:spacing w:after="40" w:before="40" w:line="280"/>
      </w:pPr>
      <w:r>
        <w:t xml:space="preserve">{%p if is_dual %}</w:t>
      </w:r>
    </w:p>
    <w:p>
      <w:pPr>
        <w:spacing w:after="60" w:before="100"/>
      </w:pPr>
      <w:r>
        <w:t xml:space="preserve">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spacing w:after="60" w:before="100"/>
      </w:pPr>
      <w:r>
        <w:t xml:space="preserve">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 xml:space="preserve">On the main gas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 xml:space="preserve">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spacing w:after="60" w:before="120"/>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 xml:space="preserve">Temperature Control System</w:t>
      </w:r>
    </w:p>
    <w:p>
      <w:pPr>
        <w:pStyle w:val="ListParagraph"/>
        <w:numPr>
          <w:ilvl w:val="0"/>
          <w:numId w:val="3"/>
        </w:numPr>
        <w:spacing w:after="40" w:before="40" w:line="280"/>
      </w:pPr>
      <w:r>
        <w:t xml:space="preserve">{%p for x in temp_control_items %}</w:t>
      </w:r>
    </w:p>
    <w:p>
      <w:pPr>
        <w:pStyle w:val="ListParagraph"/>
        <w:numPr>
          <w:ilvl w:val="0"/>
          <w:numId w:val="3"/>
        </w:numPr>
        <w:spacing w:after="40" w:before="40" w:line="280"/>
      </w:pPr>
      <w:r>
        <w:t xml:space="preserve">{{ x.item }}</w:t>
      </w:r>
    </w:p>
    <w:p>
      <w:pPr>
        <w:pStyle w:val="ListParagraph"/>
        <w:numPr>
          <w:ilvl w:val="0"/>
          <w:numId w:val="3"/>
        </w:numPr>
        <w:spacing w:after="40" w:before="40" w:line="280"/>
      </w:pPr>
      <w:r>
        <w:t xml:space="preserve">{%p endfor %}</w:t>
      </w:r>
    </w:p>
    <w:p>
      <w:pPr>
        <w:pStyle w:val="Heading3"/>
        <w:spacing w:after="80" w:before="200"/>
      </w:pPr>
      <w:r>
        <w:rPr>
          <w:rFonts w:ascii="Calibri" w:cs="Calibri" w:eastAsia="Calibri" w:hAnsi="Calibri"/>
          <w:b/>
          <w:bCs/>
          <w:color w:val="1F2937"/>
          <w:sz w:val="22"/>
          <w:szCs w:val="22"/>
        </w:rPr>
        <w:t xml:space="preserve">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 xml:space="preserve">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 xml:space="preserve">Ammeter and voltmeter of suitable capacity</w:t>
      </w:r>
    </w:p>
    <w:p>
      <w:pPr>
        <w:pStyle w:val="ListParagraph"/>
        <w:numPr>
          <w:ilvl w:val="0"/>
          <w:numId w:val="2"/>
        </w:numPr>
        <w:spacing w:after="40" w:before="40" w:line="280"/>
      </w:pPr>
      <w:r>
        <w:rPr>
          <w:rFonts w:ascii="Calibri" w:cs="Calibri" w:eastAsia="Calibri" w:hAnsi="Calibri"/>
          <w:sz w:val="22"/>
          <w:szCs w:val="22"/>
        </w:rPr>
        <w:t xml:space="preserve">Combustion air blower start/stop push buttons</w:t>
      </w:r>
    </w:p>
    <w:p>
      <w:pPr>
        <w:pStyle w:val="ListParagraph"/>
        <w:numPr>
          <w:ilvl w:val="0"/>
          <w:numId w:val="2"/>
        </w:numPr>
        <w:spacing w:after="40" w:before="40" w:line="280"/>
      </w:pPr>
      <w:r>
        <w:rPr>
          <w:rFonts w:ascii="Calibri" w:cs="Calibri" w:eastAsia="Calibri" w:hAnsi="Calibri"/>
          <w:sz w:val="22"/>
          <w:szCs w:val="22"/>
        </w:rPr>
        <w:t xml:space="preserve">Indicating lamps and fuses</w:t>
      </w:r>
    </w:p>
    <w:p>
      <w:pPr>
        <w:pStyle w:val="ListParagraph"/>
        <w:numPr>
          <w:ilvl w:val="0"/>
          <w:numId w:val="2"/>
        </w:numPr>
        <w:spacing w:after="40" w:before="40" w:line="280"/>
      </w:pPr>
      <w:r>
        <w:rPr>
          <w:rFonts w:ascii="Calibri" w:cs="Calibri" w:eastAsia="Calibri" w:hAnsi="Calibri"/>
          <w:sz w:val="22"/>
          <w:szCs w:val="22"/>
        </w:rPr>
        <w:t xml:space="preserve">Safety relays and contactors</w:t>
      </w:r>
    </w:p>
    <w:p>
      <w:pPr>
        <w:pStyle w:val="ListParagraph"/>
        <w:numPr>
          <w:ilvl w:val="0"/>
          <w:numId w:val="2"/>
        </w:numPr>
        <w:spacing w:after="40" w:before="40" w:line="280"/>
      </w:pPr>
      <w:r>
        <w:rPr>
          <w:rFonts w:ascii="Calibri" w:cs="Calibri" w:eastAsia="Calibri" w:hAnsi="Calibri"/>
          <w:sz w:val="22"/>
          <w:szCs w:val="22"/>
        </w:rPr>
        <w:t xml:space="preserve">PLC (Siemens S7-1200)</w:t>
      </w:r>
    </w:p>
    <w:p>
      <w:pPr>
        <w:pStyle w:val="ListParagraph"/>
        <w:numPr>
          <w:ilvl w:val="0"/>
          <w:numId w:val="2"/>
        </w:numPr>
        <w:spacing w:after="40" w:before="40" w:line="280"/>
      </w:pPr>
      <w:r>
        <w:rPr>
          <w:rFonts w:ascii="Calibri" w:cs="Calibri" w:eastAsia="Calibri" w:hAnsi="Calibri"/>
          <w:sz w:val="22"/>
          <w:szCs w:val="22"/>
        </w:rPr>
        <w:t xml:space="preserve">MCBs of suitable capacity</w:t>
      </w:r>
    </w:p>
    <w:p>
      <w:pPr>
        <w:pStyle w:val="ListParagraph"/>
        <w:numPr>
          <w:ilvl w:val="0"/>
          <w:numId w:val="2"/>
        </w:numPr>
        <w:spacing w:after="40" w:before="40" w:line="280"/>
      </w:pPr>
      <w:r>
        <w:rPr>
          <w:rFonts w:ascii="Calibri" w:cs="Calibri" w:eastAsia="Calibri" w:hAnsi="Calibri"/>
          <w:sz w:val="22"/>
          <w:szCs w:val="22"/>
        </w:rPr>
        <w:t xml:space="preserve">Burner control unit for pilot burner</w:t>
      </w:r>
    </w:p>
    <w:p>
      <w:pPr>
        <w:pStyle w:val="ListParagraph"/>
        <w:numPr>
          <w:ilvl w:val="0"/>
          <w:numId w:val="2"/>
        </w:numPr>
        <w:spacing w:after="40" w:before="40" w:line="280"/>
      </w:pPr>
      <w:r>
        <w:rPr>
          <w:rFonts w:ascii="Calibri" w:cs="Calibri" w:eastAsia="Calibri" w:hAnsi="Calibri"/>
          <w:sz w:val="22"/>
          <w:szCs w:val="22"/>
        </w:rPr>
        <w:t xml:space="preserve">Inching push buttons for hydraulic cylinder operation</w:t>
      </w:r>
    </w:p>
    <w:p>
      <w:pPr>
        <w:pStyle w:val="Heading3"/>
        <w:spacing w:after="80" w:before="200"/>
      </w:pPr>
      <w:r>
        <w:rPr>
          <w:rFonts w:ascii="Calibri" w:cs="Calibri" w:eastAsia="Calibri" w:hAnsi="Calibri"/>
          <w:b/>
          <w:bCs/>
          <w:color w:val="1F2937"/>
          <w:sz w:val="22"/>
          <w:szCs w:val="22"/>
        </w:rPr>
        <w:t xml:space="preserve">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 xml:space="preserve">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 xml:space="preserve">Pipeline / piping from T.O.P to inlet of pumping unit</w:t>
      </w:r>
    </w:p>
    <w:p>
      <w:pPr>
        <w:pStyle w:val="ListParagraph"/>
        <w:numPr>
          <w:ilvl w:val="0"/>
          <w:numId w:val="2"/>
        </w:numPr>
        <w:spacing w:after="40" w:before="40" w:line="280"/>
      </w:pPr>
      <w:r>
        <w:rPr>
          <w:rFonts w:ascii="Calibri" w:cs="Calibri" w:eastAsia="Calibri" w:hAnsi="Calibri"/>
          <w:sz w:val="22"/>
          <w:szCs w:val="22"/>
        </w:rPr>
        <w:t xml:space="preserve">Civil work, cabling, and piping work</w:t>
      </w:r>
    </w:p>
    <w:p>
      <w:pPr>
        <w:pStyle w:val="ListParagraph"/>
        <w:numPr>
          <w:ilvl w:val="0"/>
          <w:numId w:val="2"/>
        </w:numPr>
        <w:spacing w:after="40" w:before="40" w:line="280"/>
      </w:pPr>
      <w:r>
        <w:rPr>
          <w:rFonts w:ascii="Calibri" w:cs="Calibri" w:eastAsia="Calibri" w:hAnsi="Calibri"/>
          <w:sz w:val="22"/>
          <w:szCs w:val="22"/>
        </w:rPr>
        <w:t xml:space="preserve">Any fume-extraction system</w:t>
      </w:r>
    </w:p>
    <w:p>
      <w:pPr>
        <w:pStyle w:val="ListParagraph"/>
        <w:numPr>
          <w:ilvl w:val="0"/>
          <w:numId w:val="2"/>
        </w:numPr>
        <w:spacing w:after="40" w:before="40" w:line="280"/>
      </w:pPr>
      <w:r>
        <w:rPr>
          <w:rFonts w:ascii="Calibri" w:cs="Calibri" w:eastAsia="Calibri" w:hAnsi="Calibri"/>
          <w:sz w:val="22"/>
          <w:szCs w:val="22"/>
        </w:rPr>
        <w:t xml:space="preserve">Any material-handling equipment</w:t>
      </w:r>
    </w:p>
    <w:p>
      <w:pPr>
        <w:pStyle w:val="ListParagraph"/>
        <w:numPr>
          <w:ilvl w:val="0"/>
          <w:numId w:val="2"/>
        </w:numPr>
        <w:spacing w:after="40" w:before="40" w:line="280"/>
      </w:pPr>
      <w:r>
        <w:rPr>
          <w:rFonts w:ascii="Calibri" w:cs="Calibri" w:eastAsia="Calibri" w:hAnsi="Calibri"/>
          <w:sz w:val="22"/>
          <w:szCs w:val="22"/>
        </w:rPr>
        <w:t xml:space="preserve">Foundation bolts for column / structure</w:t>
      </w:r>
    </w:p>
    <w:p>
      <w:pPr>
        <w:pStyle w:val="ListParagraph"/>
        <w:numPr>
          <w:ilvl w:val="0"/>
          <w:numId w:val="2"/>
        </w:numPr>
        <w:spacing w:after="40" w:before="40" w:line="280"/>
      </w:pPr>
      <w:r>
        <w:rPr>
          <w:rFonts w:ascii="Calibri" w:cs="Calibri" w:eastAsia="Calibri" w:hAnsi="Calibri"/>
          <w:sz w:val="22"/>
          <w:szCs w:val="22"/>
        </w:rPr>
        <w:t xml:space="preserve">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center"/>
            </w:pPr>
            <w:r>
              <w:rPr>
                <w:rFonts w:ascii="Calibri" w:cs="Calibri" w:eastAsia="Calibri" w:hAnsi="Calibri"/>
                <w:b/>
                <w:bCs/>
                <w:sz w:val="22"/>
                <w:szCs w:val="22"/>
              </w:rPr>
              <w:t xml:space="preserve">2</w:t>
            </w:r>
          </w:p>
        </w:tc>
        <w:tc>
          <w:tcPr>
            <w:tcW w:type="dxa" w:w="4080"/>
            <w:gridSpan w:val="4"/>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60" w:before="40"/>
            </w:pPr>
            <w:r>
              <w:t>Supervision Charges for Erection and Commissioning. Erection by client; supervision by ENCON. Per-day rates: INR {{supervision_mech}} (Mechanical), INR {{supervision_plc}} (PLC and Instrumentation). To-and-fro fare from Delhi to site, plus boarding, lodging, local conveyance, and medical assistance if required.</w:t>
            </w:r>
          </w:p>
        </w:tc>
      </w:tr>
      <w:tr>
        <w:tc>
          <w:tcPr>
            <w:tcW w:type="dxa" w:w="7660"/>
            <w:gridSpan w:val="4"/>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right"/>
            </w:pPr>
            <w:r/>
          </w:p>
        </w:tc>
        <w:tc>
          <w:tcPr>
            <w:tcW w:type="dxa" w:w="1700"/>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right"/>
            </w:pPr>
            <w:r/>
          </w:p>
        </w:tc>
      </w:tr>
      <w:tr>
        <w:tc>
          <w:tcPr>
            <w:tcW w:type="dxa" w:w="9360"/>
            <w:gridSpan w:val="5"/>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- 250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2240" w:h="15840" w:orient="portrait"/>
      <w:pgMar w:top="180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600"/>
          <w:tcBorders>
            <w:top w:val="none"/>
            <w:left w:val="none"/>
            <w:bottom w:val="none"/>
            <w:right w:val="none"/>
          </w:tcBorders>
          <w:vAlign w:val="center"/>
        </w:tcPr>
        <w:p>
          <w:pPr>
            <w:jc w:val="left"/>
          </w:pPr>
          <w:r>
            <w:drawing>
              <wp:inline distT="0" distB="0" distL="0" distR="0">
                <wp:extent cx="762000" cy="609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6096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 xml:space="preserve">Ref: ENCON/Q/2026/008</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