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60" w:before="0" w:line="240" w:lineRule="auto"/>
        <w:jc w:val="left"/>
      </w:pPr>
      <w:r>
        <w:t>The offer broadly comprises the following:</w:t>
      </w:r>
    </w:p>
    <w:p>
      <w:pPr>
        <w:spacing w:after="20" w:before="0" w:line="240" w:lineRule="auto"/>
        <w:ind w:left="504"/>
        <w:jc w:val="left"/>
      </w:pPr>
      <w:r>
        <w:t>1. Regenerative Burners</w:t>
      </w:r>
    </w:p>
    <w:p>
      <w:pPr>
        <w:spacing w:after="20" w:before="0" w:line="240" w:lineRule="auto"/>
        <w:ind w:left="504"/>
        <w:jc w:val="left"/>
      </w:pPr>
      <w:r>
        <w:t>2. Temperature Control</w:t>
      </w:r>
    </w:p>
    <w:p>
      <w:pPr>
        <w:spacing w:after="20" w:before="0" w:line="240" w:lineRule="auto"/>
        <w:ind w:left="504"/>
        <w:jc w:val="left"/>
      </w:pPr>
      <w:r>
        <w:t>3. Blower for Combustion Air</w:t>
      </w:r>
    </w:p>
    <w:p>
      <w:pPr>
        <w:spacing w:after="20" w:before="0" w:line="240" w:lineRule="auto"/>
        <w:ind w:left="504"/>
        <w:jc w:val="left"/>
      </w:pPr>
      <w:r>
        <w:t>4. ID Fan for Suction of Flue Gas</w:t>
      </w:r>
    </w:p>
    <w:p>
      <w:pPr>
        <w:spacing w:after="20" w:before="0" w:line="240" w:lineRule="auto"/>
        <w:ind w:left="504"/>
        <w:jc w:val="left"/>
      </w:pPr>
      <w:r>
        <w:t>5. Panel with PLC &amp; HMI</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fuel oil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tbl>
      <w:tblPr>
        <w:tblW w:type="auto" w:w="0"/>
        <w:jc w:val="center"/>
        <w:tblLook w:firstColumn="1" w:firstRow="1" w:lastColumn="0" w:lastRow="0" w:noHBand="0" w:noVBand="1" w:val="04A0"/>
        <w:tblW w:w="5000" w:type="pct"/>
        <w:tblBorders>
          <w:top w:val="single" w:sz="8" w:space="0" w:color="9DC3E6"/>
          <w:left w:val="single" w:sz="8" w:space="0" w:color="9DC3E6"/>
          <w:bottom w:val="single" w:sz="8" w:space="0" w:color="9DC3E6"/>
          <w:right w:val="single" w:sz="8" w:space="0" w:color="9DC3E6"/>
        </w:tblBorders>
        <w:tblCellMar>
          <w:top w:w="100" w:type="dxa"/>
          <w:bottom w:w="100" w:type="dxa"/>
          <w:left w:w="140" w:type="dxa"/>
          <w:right w:w="140" w:type="dxa"/>
        </w:tblCellMar>
      </w:tblPr>
      <w:tblGrid>
        <w:gridCol w:w="9740"/>
      </w:tblGrid>
      <w:tr>
        <w:tc>
          <w:tcPr>
            <w:tcW w:type="dxa" w:w="9740"/>
            <w:shd w:val="clear" w:color="auto" w:fill="DDEBF7"/>
          </w:tcPr>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tc>
      </w:tr>
    </w:tbl>
    <w:p w14:paraId="56C4913E" w14:textId="260316D6" w:rsidR="0004453C" w:rsidRPr="007A1FC8" w:rsidRDefault="00211D55" w:rsidP="00E05517">
      <w:pPr>
        <w:spacing w:before="280" w:after="80"/>
        <w:jc w:val="both"/>
        <w:rPr>
          <w:b/>
          <w:bCs/>
          <w:u w:val="single"/>
        </w:rPr>
        <w:pBdr>
          <w:bottom w:val="single" w:color="E87722" w:sz="12" w:space="4"/>
        </w:pBdr>
      </w:pPr>
      <w:r>
        <w:rPr>
          <w:rFonts w:ascii="Calibri" w:hAnsi="Calibri" w:cs="Calibri"/>
          <w:b/>
          <w:bCs/>
          <w:color w:val="1F2937"/>
          <w:sz w:val="30"/>
        </w:rPr>
        <w:t>HEATING &amp; PUMPING UNIT</w:t>
      </w:r>
      <w:r w:rsidR="00EA49A8">
        <w:rPr>
          <w:rFonts w:ascii="Calibri" w:hAnsi="Calibri" w:cs="Calibri"/>
          <w:b/>
          <w:bCs/>
        </w:rPr>
      </w:r>
      <w:r w:rsidR="0004453C" w:rsidRPr="007A1FC8">
        <w:rPr>
          <w:rFonts w:ascii="Calibri" w:hAnsi="Calibri" w:cs="Calibri"/>
          <w:b/>
          <w:bCs/>
          <w:color w:val="1F2937"/>
          <w:sz w:val="30"/>
        </w:rPr>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To supply fuel oil to the above burners at the requisite pressure and temperature, we will supply one Heating &amp; Pumping Unit along with the oil line to the burners, consisting of the following main components:</w:t>
      </w:r>
      <w:r w:rsidR="00955EB5">
        <w:rPr>
          <w:rFonts w:ascii="Calibri" w:hAnsi="Calibri" w:cs="Calibri"/>
        </w:rPr>
      </w:r>
      <w:r w:rsidR="0003328D">
        <w:rPr>
          <w:rFonts w:ascii="Calibri" w:hAnsi="Calibri" w:cs="Calibri"/>
        </w:rPr>
      </w:r>
      <w:r w:rsidR="00EB1441">
        <w:rPr>
          <w:rFonts w:ascii="Calibri" w:hAnsi="Calibri" w:cs="Calibri"/>
        </w:rPr>
      </w:r>
      <w:r>
        <w:rPr>
          <w:rFonts w:ascii="Calibri" w:hAnsi="Calibri" w:cs="Calibri"/>
        </w:rPr>
      </w:r>
      <w:r w:rsidR="0004453C" w:rsidRPr="007A1FC8">
        <w:rPr>
          <w:rFonts w:ascii="Calibri" w:hAnsi="Calibri" w:cs="Calibri"/>
        </w:rPr>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Heating &amp; Pumping Unit</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 (Oil Line)</w:t>
      </w:r>
      <w:r w:rsidR="00CA0981">
        <w:rPr>
          <w:rFonts w:ascii="Calibri" w:hAnsi="Calibri" w:cs="Calibri"/>
          <w:sz w:val="24"/>
          <w:szCs w:val="24"/>
        </w:rPr>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Gate Valve</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 Pipe</w:t>
      </w:r>
      <w:r w:rsidR="009553CC">
        <w:rPr>
          <w:rFonts w:ascii="Calibri" w:hAnsi="Calibri" w:cs="Calibri"/>
          <w:sz w:val="24"/>
          <w:szCs w:val="24"/>
        </w:rPr>
      </w:r>
      <w:r w:rsidR="00426A15">
        <w:rPr>
          <w:rFonts w:ascii="Calibri" w:hAnsi="Calibri" w:cs="Calibri"/>
          <w:sz w:val="24"/>
          <w:szCs w:val="24"/>
        </w:rPr>
      </w:r>
    </w:p>
    <w:p w14:paraId="18792E5C" w14:textId="0C0B6110" w:rsidR="0004453C" w:rsidRPr="00BA6D7B" w:rsidRDefault="0004453C" w:rsidP="00E05517">
      <w:pPr>
        <w:spacing w:before="280" w:after="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supplied from a separate LPG line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PLC</w:t>
      </w:r>
      <w:r>
        <w:rPr>
          <w:rFonts w:ascii="Calibri" w:hAnsi="Calibri" w:cs="Calibri"/>
        </w:rPr>
        <w:t xml:space="preserve"> S</w:t>
      </w:r>
      <w:r w:rsidR="00E74A2B">
        <w:rPr>
          <w:rFonts w:ascii="Calibri" w:hAnsi="Calibri" w:cs="Calibri"/>
        </w:rPr>
        <w:t xml:space="preserve">7 – 1200 </w:t>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oil line will give a signal indicating the flow in the Air &amp; Oil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Oil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oil flow while maintaining the air to oil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oil will be reduced accordingly</w:t>
      </w:r>
      <w:r w:rsidR="005439B0">
        <w:rPr>
          <w:rFonts w:ascii="Calibri" w:hAnsi="Calibri" w:cs="Calibri"/>
        </w:rPr>
        <w:t xml:space="preserve"> maintaining air oil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 – 1200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Bdr>
          <w:bottom w:val="single" w:color="E87722" w:sz="12" w:space="4"/>
        </w:pBd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p>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Bdr>
          <w:bottom w:val="single" w:color="E87722" w:sz="12" w:space="4"/>
        </w:pBd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Bdr>
          <w:bottom w:val="single" w:color="E87722" w:sz="12" w:space="4"/>
        </w:pBdr>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