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vAlign w:val="center"/>
            <w:shd w:val="clear" w:color="auto" w:fill="F3F4F6"/>
          </w:tcPr>
          <w:p>
            <w:r>
              <w:rPr>
                <w:b/>
                <w:sz w:val="22"/>
              </w:rPr>
              <w:t>Supervision Charges for Erection and Commissioning (Mechanical)</w:t>
            </w:r>
          </w:p>
        </w:tc>
        <w:tc>
          <w:tcPr>
            <w:tcW w:type="dxa" w:w="3000"/>
            <w:vAlign w:val="center"/>
          </w:tcPr>
          <w:p>
            <w:r>
              <w:rPr>
                <w:sz w:val="22"/>
              </w:rPr>
              <w:t xml:space="preserve">INR {{ supervision_mech }}</w:t>
            </w:r>
          </w:p>
        </w:tc>
      </w:tr>
      <w:tr>
        <w:tc>
          <w:tcPr>
            <w:tcW w:type="dxa" w:w="6360"/>
            <w:vAlign w:val="center"/>
            <w:shd w:val="clear" w:color="auto" w:fill="F3F4F6"/>
          </w:tcPr>
          <w:p>
            <w:r>
              <w:rPr>
                <w:b/>
                <w:sz w:val="22"/>
              </w:rPr>
              <w:t>Supervision Charges for Erection and Commissioning (PLC and Instrumentation)</w:t>
            </w:r>
          </w:p>
        </w:tc>
        <w:tc>
          <w:tcPr>
            <w:tcW w:type="dxa" w:w="3000"/>
            <w:vAlign w:val="center"/>
          </w:tcPr>
          <w:p>
            <w:r>
              <w:rPr>
                <w:sz w:val="22"/>
              </w:rPr>
              <w:t xml:space="preserve">INR {{ supervision_plc }}</w:t>
            </w:r>
          </w:p>
        </w:tc>
      </w:tr>
      <w:tr>
        <w:tc>
          <w:tcPr>
            <w:tcW w:type="dxa" w:w="9360"/>
            <w:gridSpan w:val="2"/>
            <w:vAlign w:val="center"/>
          </w:tcPr>
          <w:p>
            <w:r>
              <w:rPr>
                <w:i/>
                <w:sz w:val="22"/>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