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2240" w:h="15840" w:orient="portrait"/>
          <w:pgMar w:top="1080" w:right="1080" w:bottom="1080" w:left="1080"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 xml:space="preserve">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 xml:space="preserve">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1. Company Profile</w:t>
      </w:r>
    </w:p>
    <w:p>
      <w:pPr>
        <w:pStyle w:val="Heading2"/>
        <w:spacing w:after="120" w:before="280"/>
      </w:pPr>
      <w:r>
        <w:rPr>
          <w:rFonts w:ascii="Calibri" w:cs="Calibri" w:eastAsia="Calibri" w:hAnsi="Calibri"/>
          <w:b/>
          <w:bCs/>
          <w:color w:val="E87722"/>
          <w:sz w:val="26"/>
          <w:szCs w:val="26"/>
        </w:rPr>
        <w:t xml:space="preserve">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 xml:space="preserve">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 xml:space="preserve">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 xml:space="preserve">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 xml:space="preserve">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 xml:space="preserve">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rPr>
          <ns0:color ns0:val="000000"/>
          <ns0:sz ns0:val="20"/>
          <ns0:szCs ns0:val="20"/>
        </ns0:rPr>
        <ns0:sectPr ns0:rsidR="009C3D95">
          <ns0:footerReference ns0:type="default" ns6:id="rId12"/>
          <ns0:pgSz ns0:w="11920" ns0:h="16850"/>
          <ns0:pgMar ns0:top="1340" ns0:right="340" ns0:bottom="1540" ns0:left="440"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posOffset>527050</ns2:posOffset>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 xml:space="preserve">2. About the Client</w:t>
      </w:r>
    </w:p>
    <w:p>
      <w:pPr>
        <w:pStyle w:val="Heading3"/>
        <w:spacing w:after="80" w:before="200"/>
      </w:pPr>
      <w:r>
        <w:rPr>
          <w:rFonts w:ascii="Calibri" w:cs="Calibri" w:eastAsia="Calibri" w:hAnsi="Calibri"/>
          <w:b/>
          <w:bCs/>
          <w:color w:val="1F2937"/>
          <w:sz w:val="22"/>
          <w:szCs w:val="22"/>
        </w:rPr>
        <w:t xml:space="preserve">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 xml:space="preserve">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3. Technical Specifications</w:t>
      </w:r>
    </w:p>
    <w:p>
      <w:pPr>
        <w:pStyle w:val="Heading2"/>
        <w:spacing w:after="120" w:before="280"/>
      </w:pPr>
      <w:r>
        <w:rPr>
          <w:rFonts w:ascii="Calibri" w:cs="Calibri" w:eastAsia="Calibri" w:hAnsi="Calibri"/>
          <w:b/>
          <w:bCs/>
          <w:color w:val="E87722"/>
          <w:sz w:val="26"/>
          <w:szCs w:val="26"/>
        </w:rPr>
        <w:t xml:space="preserve">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{{burner_kw}}</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else %}PLC{% endif %}{% endif %}</w:t>
            </w:r>
          </w:p>
        </w:tc>
      </w:tr>
    </w:tbl>
    <w:p>
      <w:pPr>
        <w:spacing w:after="200" w:before="200"/>
      </w:pPr>
      <w:r>
        <w:t xml:space="preserve"/>
      </w:r>
    </w:p>
    <w:p>
      <w:r>
        <w:br w:type="page"/>
      </w:r>
    </w:p>
    <w:p>
      <w:pPr>
        <w:pStyle w:val="Heading2"/>
        <w:spacing w:after="120" w:before="280"/>
      </w:pPr>
      <w:r>
        <w:rPr>
          <w:rFonts w:ascii="Calibri" w:cs="Calibri" w:eastAsia="Calibri" w:hAnsi="Calibri"/>
          <w:b/>
          <w:bCs/>
          <w:color w:val="E87722"/>
          <w:sz w:val="26"/>
          <w:szCs w:val="26"/>
        </w:rPr>
        <w:t xml:space="preserve">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 xml:space="preserve">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t xml:space="preserve">{%p if hood_type == "up_down" and not is_horizontal %}</w:t>
      </w:r>
    </w:p>
    <w:p>
      <w:pPr>
        <w:pStyle w:val="Heading3"/>
        <w:spacing w:after="80" w:before="200"/>
      </w:pPr>
      <w:r>
        <w:rPr>
          <w:rFonts w:ascii="Calibri" w:cs="Calibri" w:eastAsia="Calibri" w:hAnsi="Calibri"/>
          <w:b/>
          <w:bCs/>
          <w:color w:val="1F2937"/>
          <w:sz w:val="22"/>
          <w:szCs w:val="22"/>
        </w:rPr>
        <w:t xml:space="preserve">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t xml:space="preserve">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1 No. ENCON {% if is_oil %}Film{% elif is_dual %}Dual{% else %}Gas{% endif %} Burner with a firing rate of {{ fuel_consumption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 xml:space="preserve">Burner alone</w:t>
      </w:r>
    </w:p>
    <w:p>
      <w:pPr>
        <w:pStyle w:val="ListParagraph"/>
        <w:numPr>
          <w:ilvl w:val="0"/>
          <w:numId w:val="2"/>
        </w:numPr>
        <w:spacing w:after="40" w:before="40" w:line="280"/>
      </w:pPr>
      <w:r>
        <w:rPr>
          <w:rFonts w:ascii="Calibri" w:cs="Calibri" w:eastAsia="Calibri" w:hAnsi="Calibri"/>
          <w:sz w:val="22"/>
          <w:szCs w:val="22"/>
        </w:rPr>
        <w:t xml:space="preserve">Ball valve</w:t>
      </w:r>
    </w:p>
    <w:p>
      <w:pPr>
        <w:pStyle w:val="ListParagraph"/>
        <w:numPr>
          <w:ilvl w:val="0"/>
          <w:numId w:val="2"/>
        </w:numPr>
        <w:spacing w:after="40" w:before="40" w:line="280"/>
      </w:pPr>
      <w:r>
        <w:rPr>
          <w:rFonts w:ascii="Calibri" w:cs="Calibri" w:eastAsia="Calibri" w:hAnsi="Calibri"/>
          <w:sz w:val="22"/>
          <w:szCs w:val="22"/>
        </w:rPr>
        <w:t xml:space="preserve">CI Burner mounting plate</w:t>
      </w:r>
    </w:p>
    <w:p>
      <w:pPr>
        <w:pStyle w:val="ListParagraph"/>
        <w:numPr>
          <w:ilvl w:val="0"/>
          <w:numId w:val="2"/>
        </w:numPr>
        <w:spacing w:after="40" w:before="40" w:line="280"/>
      </w:pPr>
      <w:r>
        <w:rPr>
          <w:rFonts w:ascii="Calibri" w:cs="Calibri" w:eastAsia="Calibri" w:hAnsi="Calibri"/>
          <w:sz w:val="22"/>
          <w:szCs w:val="22"/>
        </w:rPr>
        <w:t xml:space="preserve">Burner Block</w:t>
      </w:r>
    </w:p>
    <w:p>
      <w:pPr>
        <w:pStyle w:val="ListParagraph"/>
        <w:numPr>
          <w:ilvl w:val="0"/>
          <w:numId w:val="2"/>
        </w:numPr>
        <w:spacing w:after="40" w:before="40" w:line="280"/>
      </w:pPr>
      <w:r>
        <w:rPr>
          <w:rFonts w:ascii="Calibri" w:cs="Calibri" w:eastAsia="Calibri" w:hAnsi="Calibri"/>
          <w:sz w:val="22"/>
          <w:szCs w:val="22"/>
        </w:rPr>
        <w:t xml:space="preserve">Flexible Hoses Set</w:t>
      </w:r>
    </w:p>
    <w:p>
      <w:pPr>
        <w:pStyle w:val="ListParagraph"/>
        <w:numPr>
          <w:ilvl w:val="0"/>
          <w:numId w:val="2"/>
        </w:numPr>
        <w:spacing w:after="40" w:before="40" w:line="280"/>
      </w:pPr>
      <w:r>
        <w:rPr>
          <w:rFonts w:ascii="Calibri" w:cs="Calibri" w:eastAsia="Calibri" w:hAnsi="Calibri"/>
          <w:sz w:val="22"/>
          <w:szCs w:val="22"/>
        </w:rPr>
        <w:t xml:space="preserve">Butterfly Valve</w:t>
      </w:r>
    </w:p>
    <w:p>
      <w:pPr>
        <w:pStyle w:val="ListParagraph"/>
        <w:numPr>
          <w:ilvl w:val="0"/>
          <w:numId w:val="2"/>
        </w:numPr>
        <w:spacing w:after="40" w:before="40" w:line="280"/>
      </w:pPr>
      <w:r>
        <w:t xml:space="preserve">{%p if is_dual %}</w:t>
      </w:r>
    </w:p>
    <w:p>
      <w:pPr>
        <w:spacing w:after="60" w:before="100"/>
      </w:pPr>
      <w:r>
        <w:t xml:space="preserve">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00"/>
      </w:pPr>
      <w:r>
        <w:t xml:space="preserve">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 xml:space="preserve">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 xml:space="preserve">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 xml:space="preserve">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 xml:space="preserve">On the main air pipeline:</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b/>
        </w:rPr>
        <w:t xml:space="preserve">On the main {{ fuel1_line_label or "gas" }} pipeline:</w:t>
      </w:r>
    </w:p>
    <w:p>
      <w:pPr>
        <w:spacing w:after="60" w:before="60" w:line="300"/>
        <w:jc w:val="left"/>
      </w:pPr>
      <w:r>
        <w:rPr>
          <w:rFonts w:ascii="Calibri" w:cs="Calibri" w:eastAsia="Calibri" w:hAnsi="Calibri"/>
        </w:rPr>
        <w:t xml:space="preserve">{%p if is_oil %}</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 xml:space="preserve">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 xml:space="preserve">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spacing w:after="60" w:before="60" w:line="300"/>
        <w:jc w:val="left"/>
      </w:pPr>
      <w:r>
        <w:rPr>
          <w:rFonts w:ascii="Calibri" w:cs="Calibri" w:eastAsia="Calibri" w:hAnsi="Calibri"/>
        </w:rPr>
        <w:t xml:space="preserve">{%p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 xml:space="preserve">PLC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"pid" %}</w:t>
      </w:r>
    </w:p>
    <w:p>
      <w:pPr>
        <w:pStyle w:val="ListParagraph"/>
        <w:numPr>
          <w:ilvl w:val="0"/>
          <w:numId w:val="2"/>
        </w:numPr>
        <w:spacing w:after="40" w:before="40" w:line="280"/>
      </w:pPr>
      <w:r>
        <w:rPr>
          <w:rFonts w:ascii="Calibri" w:cs="Calibri" w:eastAsia="Calibri" w:hAnsi="Calibri"/>
          <w:sz w:val="22"/>
          <w:szCs w:val="22"/>
        </w:rPr>
        <w:t xml:space="preserve">PID Controller</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Thermocouple</w:t>
      </w:r>
    </w:p>
    <w:p>
      <w:pPr>
        <w:spacing w:after="60" w:before="60" w:line="300"/>
        <w:jc w:val="left"/>
      </w:pPr>
      <w:r>
        <w:rPr>
          <w:rFonts w:ascii="Calibri" w:cs="Calibri" w:eastAsia="Calibri" w:hAnsi="Calibri"/>
        </w:rPr>
        <w:t xml:space="preserve">{%p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w:t>
      </w:r>
    </w:p>
    <w:p>
      <w:pPr>
        <w:spacing w:after="60" w:before="60" w:line="300"/>
        <w:jc w:val="left"/>
      </w:pPr>
      <w:r>
        <w:rPr>
          <w:rFonts w:ascii="Calibri" w:cs="Calibri" w:eastAsia="Calibri" w:hAnsi="Calibri"/>
        </w:rPr>
        <w:t xml:space="preserve">{%p if is_oil %}</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 xml:space="preserve">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 xml:space="preserve">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 xml:space="preserve">Ammeter and voltmeter of suitable capacity</w:t>
      </w:r>
    </w:p>
    <w:p>
      <w:pPr>
        <w:pStyle w:val="ListParagraph"/>
        <w:numPr>
          <w:ilvl w:val="0"/>
          <w:numId w:val="2"/>
        </w:numPr>
        <w:spacing w:after="40" w:before="40" w:line="280"/>
      </w:pPr>
      <w:r>
        <w:rPr>
          <w:rFonts w:ascii="Calibri" w:cs="Calibri" w:eastAsia="Calibri" w:hAnsi="Calibri"/>
          <w:sz w:val="22"/>
          <w:szCs w:val="22"/>
        </w:rPr>
        <w:t xml:space="preserve">Combustion air blower start/stop push buttons</w:t>
      </w:r>
    </w:p>
    <w:p>
      <w:pPr>
        <w:pStyle w:val="ListParagraph"/>
        <w:numPr>
          <w:ilvl w:val="0"/>
          <w:numId w:val="2"/>
        </w:numPr>
        <w:spacing w:after="40" w:before="40" w:line="280"/>
      </w:pPr>
      <w:r>
        <w:rPr>
          <w:rFonts w:ascii="Calibri" w:cs="Calibri" w:eastAsia="Calibri" w:hAnsi="Calibri"/>
          <w:sz w:val="22"/>
          <w:szCs w:val="22"/>
        </w:rPr>
        <w:t xml:space="preserve">Indicating lamps and fuses</w:t>
      </w:r>
    </w:p>
    <w:p>
      <w:pPr>
        <w:pStyle w:val="ListParagraph"/>
        <w:numPr>
          <w:ilvl w:val="0"/>
          <w:numId w:val="2"/>
        </w:numPr>
        <w:spacing w:after="40" w:before="40" w:line="280"/>
      </w:pPr>
      <w:r>
        <w:rPr>
          <w:rFonts w:ascii="Calibri" w:cs="Calibri" w:eastAsia="Calibri" w:hAnsi="Calibri"/>
          <w:sz w:val="22"/>
          <w:szCs w:val="22"/>
        </w:rPr>
        <w:t xml:space="preserve">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else %}PLC (Siemens S7-1200){%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 xml:space="preserve">MCBs of suitable capacity</w:t>
      </w:r>
    </w:p>
    <w:p>
      <w:pPr>
        <w:pStyle w:val="ListParagraph"/>
        <w:numPr>
          <w:ilvl w:val="0"/>
          <w:numId w:val="2"/>
        </w:numPr>
        <w:spacing w:after="40" w:before="40" w:line="280"/>
      </w:pPr>
      <w:r>
        <w:rPr>
          <w:rFonts w:ascii="Calibri" w:cs="Calibri" w:eastAsia="Calibri" w:hAnsi="Calibri"/>
          <w:sz w:val="22"/>
          <w:szCs w:val="22"/>
        </w:rPr>
        <w:t xml:space="preserve">Burner control unit for pilot burner</w:t>
      </w:r>
    </w:p>
    <w:p>
      <w:pPr>
        <w:pStyle w:val="ListParagraph"/>
        <w:numPr>
          <w:ilvl w:val="0"/>
          <w:numId w:val="2"/>
        </w:numPr>
        <w:spacing w:after="40" w:before="40" w:line="280"/>
      </w:pPr>
      <w:r>
        <w:rPr>
          <w:rFonts w:ascii="Calibri" w:cs="Calibri" w:eastAsia="Calibri" w:hAnsi="Calibri"/>
          <w:sz w:val="22"/>
          <w:szCs w:val="22"/>
        </w:rPr>
        <w:t xml:space="preserve">Inching push buttons for hydraulic cylinder operation</w:t>
      </w:r>
    </w:p>
    <w:p>
      <w:pPr>
        <w:pStyle w:val="Heading3"/>
        <w:spacing w:after="80" w:before="200"/>
      </w:pPr>
      <w:r>
        <w:rPr>
          <w:rFonts w:ascii="Calibri" w:cs="Calibri" w:eastAsia="Calibri" w:hAnsi="Calibri"/>
          <w:b/>
          <w:bCs/>
          <w:color w:val="1F2937"/>
          <w:sz w:val="22"/>
          <w:szCs w:val="22"/>
        </w:rPr>
        <w:t xml:space="preserve">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 xml:space="preserve">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 xml:space="preserve">Civil work, cabling, and piping work</w:t>
      </w:r>
    </w:p>
    <w:p>
      <w:pPr>
        <w:pStyle w:val="ListParagraph"/>
        <w:numPr>
          <w:ilvl w:val="0"/>
          <w:numId w:val="2"/>
        </w:numPr>
        <w:spacing w:after="40" w:before="40" w:line="280"/>
      </w:pPr>
      <w:r>
        <w:rPr>
          <w:rFonts w:ascii="Calibri" w:cs="Calibri" w:eastAsia="Calibri" w:hAnsi="Calibri"/>
          <w:sz w:val="22"/>
          <w:szCs w:val="22"/>
        </w:rPr>
        <w:t xml:space="preserve">Any fume-extraction system</w:t>
      </w:r>
    </w:p>
    <w:p>
      <w:pPr>
        <w:pStyle w:val="ListParagraph"/>
        <w:numPr>
          <w:ilvl w:val="0"/>
          <w:numId w:val="2"/>
        </w:numPr>
        <w:spacing w:after="40" w:before="40" w:line="280"/>
      </w:pPr>
      <w:r>
        <w:rPr>
          <w:rFonts w:ascii="Calibri" w:cs="Calibri" w:eastAsia="Calibri" w:hAnsi="Calibri"/>
          <w:sz w:val="22"/>
          <w:szCs w:val="22"/>
        </w:rPr>
        <w:t xml:space="preserve">Any material-handling equipment</w:t>
      </w:r>
    </w:p>
    <w:p>
      <w:pPr>
        <w:pStyle w:val="ListParagraph"/>
        <w:numPr>
          <w:ilvl w:val="0"/>
          <w:numId w:val="2"/>
        </w:numPr>
        <w:spacing w:after="40" w:before="40" w:line="280"/>
      </w:pPr>
      <w:r>
        <w:rPr>
          <w:rFonts w:ascii="Calibri" w:cs="Calibri" w:eastAsia="Calibri" w:hAnsi="Calibri"/>
          <w:sz w:val="22"/>
          <w:szCs w:val="22"/>
        </w:rPr>
        <w:t xml:space="preserve">Foundation bolts for column / structure</w:t>
      </w:r>
    </w:p>
    <w:p>
      <w:pPr>
        <w:pStyle w:val="ListParagraph"/>
        <w:numPr>
          <w:ilvl w:val="0"/>
          <w:numId w:val="2"/>
        </w:numPr>
        <w:spacing w:after="40" w:before="40" w:line="280"/>
      </w:pPr>
      <w:r>
        <w:rPr>
          <w:rFonts w:ascii="Calibri" w:cs="Calibri" w:eastAsia="Calibri" w:hAnsi="Calibri"/>
          <w:sz w:val="22"/>
          <w:szCs w:val="22"/>
        </w:rPr>
        <w:t xml:space="preserve">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Supervision Charges - Mechanical (per day, per person)</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required</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 supervision_mech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As applicable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Supervision Charges - PLC and Instrumentation (per day, per person)</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required</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 supervision_plc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As applicable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To-and-fro fare from Delhi to site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Boarding, lodging, and local conveyance at site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Medical assistance, if required</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2240" w:h="15840" w:orient="portrait"/>
      <w:pgMar w:top="180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1028700" cy="82296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28700" cy="82296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