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Bdr>
          <w:bottom w:val="single" w:sz="6" w:space="6" w:color="808080"/>
        </w:pBdr>
      </w:pPr>
      <w:r>
        <w:rPr>
          <w:rFonts w:ascii="Calibri" w:hAnsi="Calibri" w:cs="Calibri" w:eastAsia="Calibri"/>
          <w:b/>
          <w:sz w:val="24"/>
        </w:rPr>
        <w:t>Fig 1: Operation of Regenerative Burner</w:t>
      </w:r>
    </w:p>
    <w:p>
      <w:pPr>
        <w:jc w:val="center"/>
        <w:keepNext/>
        <w:keepLines/>
        <w:pBdr>
          <w:bottom w:val="single" w:sz="6" w:space="6" w:color="808080"/>
        </w:pBdr>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gas_train_fuel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 (Oil Line)</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Flexible Hose Pipe (Oil Line)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