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The furnace will be provided with a waste heat recovery Recuperator for suitable capacity, which will preheat the combustion air to a temperature of about {{ air_temp_out_C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Recuperator</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1.</w:t>
            </w:r>
          </w:p>
        </w:tc>
        <w:tc>
          <w:tcPr>
            <w:tcW w:type="dxa" w:w="4080"/>
          </w:tcPr>
          <w:p>
            <w:r>
              <w:t>Recuperator</w:t>
            </w:r>
          </w:p>
        </w:tc>
        <w:tc>
          <w:tcPr>
            <w:tcW w:type="dxa" w:w="1100"/>
          </w:tcPr>
          <w:p>
            <w:r>
              <w:t>{{ recup_qty }}</w:t>
            </w:r>
          </w:p>
        </w:tc>
        <w:tc>
          <w:tcPr>
            <w:tcW w:type="dxa" w:w="1700"/>
          </w:tcPr>
          <w:p>
            <w:r>
              <w:t>{{ recup_unit_price }}</w:t>
            </w:r>
          </w:p>
        </w:tc>
        <w:tc>
          <w:tcPr>
            <w:tcW w:type="dxa" w:w="1700"/>
          </w:tcPr>
          <w:p>
            <w:r>
              <w:t>{{ recup_total_price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rPr>
          <w:trHeight w:val="425" w:hRule="atLeast"/>
        </w:trPr>
        <w:tc>
          <w:tcPr>
            <w:tcW w:type="dxa" w:w="6360"/>
          </w:tcPr>
          <w:p>
            <w:r>
              <w:t>Supervision Charges for Erection and Commissioning</w:t>
            </w:r>
          </w:p>
        </w:tc>
        <w:tc>
          <w:tcPr>
            <w:tcW w:type="dxa" w:w="3000"/>
          </w:tcPr>
          <w:p>
            <w:r>
              <w:t>{{ supervision_rate }}</w:t>
            </w:r>
          </w:p>
        </w:tc>
      </w:tr>
      <w:tr>
        <w:trPr>
          <w:trHeight w:val="425" w:hRule="atLeast"/>
        </w:trPr>
        <w:tc>
          <w:tcPr>
            <w:tcW w:type="dxa" w:w="9360"/>
            <w:gridSpan w:val="2"/>
          </w:tcPr>
          <w:p>
            <w: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