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Epigallocatechin-3-gallate (EGCG) as a universal anti-skin-disease compound: structure-based affinity to TGF-β1, MMP-1, CTGF, tyrosinase, 5α-reductase 2, and SIRT1, with 10 ns MD validation</w:t>
      </w:r>
    </w:p>
    <w:p>
      <w:pPr>
        <w:pStyle w:val="Date"/>
      </w:pPr>
      <w:r>
        <w:t xml:space="preserve">2026-04-25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Epigallocatechin-3-gallate (EGCG), the principal catechin of green</w:t>
      </w:r>
      <w:r>
        <w:t xml:space="preserve"> </w:t>
      </w:r>
      <w:r>
        <w:t xml:space="preserve">tea (</w:t>
      </w:r>
      <w:r>
        <w:rPr>
          <w:i/>
          <w:iCs/>
        </w:rPr>
        <w:t xml:space="preserve">Camellia sinensis</w:t>
      </w:r>
      <w:r>
        <w:t xml:space="preserve">), has been studied across multiple skin pathologies, but</w:t>
      </w:r>
      <w:r>
        <w:t xml:space="preserve"> </w:t>
      </w:r>
      <w:r>
        <w:t xml:space="preserve">its quantitative multi-target binding profile across the major skin disease</w:t>
      </w:r>
      <w:r>
        <w:t xml:space="preserve"> </w:t>
      </w:r>
      <w:r>
        <w:t xml:space="preserve">domains has not been integrated. Genesis_Medicine v3 multi-target screening</w:t>
      </w:r>
      <w:r>
        <w:t xml:space="preserve"> </w:t>
      </w:r>
      <w:r>
        <w:t xml:space="preserve">identified EGCG as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compound (of 84 screened) achieving</w:t>
      </w:r>
      <w:r>
        <w:t xml:space="preserve"> </w:t>
      </w:r>
      <w:r>
        <w:t xml:space="preserve">significant predicted binding (≥ 0.5) across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evaluated skin disease</w:t>
      </w:r>
      <w:r>
        <w:t xml:space="preserve"> </w:t>
      </w:r>
      <w:r>
        <w:t xml:space="preserve">domains.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EGCG was co-folded with 14 protein targets covering scar regeneration</w:t>
      </w:r>
      <w:r>
        <w:t xml:space="preserve"> </w:t>
      </w:r>
      <w:r>
        <w:t xml:space="preserve">(TGF-β1, MMP-1, CTGF), hyperpigmentation (TYR, TYRP1, DCT), androgenetic alopecia</w:t>
      </w:r>
      <w:r>
        <w:t xml:space="preserve"> </w:t>
      </w:r>
      <w:r>
        <w:t xml:space="preserve">(SRD5A2, AR, β-catenin), acne (AR, SRD5A2, COX-2), and photoaging</w:t>
      </w:r>
      <w:r>
        <w:t xml:space="preserve"> </w:t>
      </w:r>
      <w:r>
        <w:t xml:space="preserve">(MMP-1, SIRT1, c-Jun) using Boltz-2. Three core scar targets were validated with</w:t>
      </w:r>
      <w:r>
        <w:t xml:space="preserve"> </w:t>
      </w:r>
      <w:r>
        <w:t xml:space="preserve">10 ns AMBER+GAFF molecular dynamics.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EGCG affinity_probability_binary by disease was: scar 0.623, pigment</w:t>
      </w:r>
      <w:r>
        <w:t xml:space="preserve"> </w:t>
      </w:r>
      <w:r>
        <w:t xml:space="preserve">0.617, alopecia 0.591, acne 0.570, photoaging 0.549 — a coefficient of variation</w:t>
      </w:r>
      <w:r>
        <w:t xml:space="preserve"> </w:t>
      </w:r>
      <w:r>
        <w:t xml:space="preserve">of only 5.4% across diseases, suggesting</w:t>
      </w:r>
      <w:r>
        <w:t xml:space="preserve"> </w:t>
      </w:r>
      <w:r>
        <w:rPr>
          <w:i/>
          <w:iCs/>
        </w:rPr>
        <w:t xml:space="preserve">equipotent</w:t>
      </w:r>
      <w:r>
        <w:t xml:space="preserve"> </w:t>
      </w:r>
      <w:r>
        <w:t xml:space="preserve">multi-target activity.</w:t>
      </w:r>
      <w:r>
        <w:t xml:space="preserve"> </w:t>
      </w:r>
      <w:r>
        <w:t xml:space="preserve">MD over 10 ns showed exceptional ligand stability (mean RMSD 1.45 Å,</w:t>
      </w:r>
      <w:r>
        <w:t xml:space="preserve"> </w:t>
      </w:r>
      <w:r>
        <w:t xml:space="preserve">max 2.06 Å, all simulations &lt; 2 Å mean), the most stable of the three top</w:t>
      </w:r>
      <w:r>
        <w:t xml:space="preserve"> </w:t>
      </w:r>
      <w:r>
        <w:t xml:space="preserve">multi-target candidates. STRING functional enrichment placed our 14-target set</w:t>
      </w:r>
      <w:r>
        <w:t xml:space="preserve"> </w:t>
      </w:r>
      <w:r>
        <w:t xml:space="preserve">in the integument tissue with FDR 2.7×10⁻⁵, supporting the</w:t>
      </w:r>
      <w:r>
        <w:t xml:space="preserve"> </w:t>
      </w:r>
      <w:r>
        <w:t xml:space="preserve">skin-tissue relevance.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EGCG represents a unique privileged scaffold for universal</w:t>
      </w:r>
      <w:r>
        <w:t xml:space="preserve"> </w:t>
      </w:r>
      <w:r>
        <w:t xml:space="preserve">skin-targeted intervention. Its consistent binding across functionally distinct</w:t>
      </w:r>
      <w:r>
        <w:t xml:space="preserve"> </w:t>
      </w:r>
      <w:r>
        <w:t xml:space="preserve">target families (Zn-protease, Cu-binding tyrosinase, NAD-deacetylase SIRT1,</w:t>
      </w:r>
      <w:r>
        <w:t xml:space="preserve"> </w:t>
      </w:r>
      <w:r>
        <w:t xml:space="preserve">nuclear receptor AR) mechanistically explains the diverse clinical reports of</w:t>
      </w:r>
      <w:r>
        <w:t xml:space="preserve"> </w:t>
      </w:r>
      <w:r>
        <w:t xml:space="preserve">green tea’s dermatologic benefits. Topical EGCG with stabilizing formulation</w:t>
      </w:r>
      <w:r>
        <w:t xml:space="preserve"> </w:t>
      </w:r>
      <w:r>
        <w:t xml:space="preserve">(addressing its hERG=0.41 risk) is proposed as a multi-disease external-use</w:t>
      </w:r>
      <w:r>
        <w:t xml:space="preserve"> </w:t>
      </w:r>
      <w:r>
        <w:t xml:space="preserve">candidate.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EGCG, epigallocatechin gallate, multi-target, skin, scar, melasma,</w:t>
      </w:r>
      <w:r>
        <w:t xml:space="preserve"> </w:t>
      </w:r>
      <w:r>
        <w:t xml:space="preserve">alopecia, acne, photoaging, AI drug discovery, Boltz-2, molecular dynamics.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placeholder.</w:t>
      </w:r>
      <w:r>
        <w:t xml:space="preserve"> </w:t>
      </w:r>
      <w:r>
        <w:t xml:space="preserve">녹차 catechin 약리학 + multi-target dermatology 컨텍스트.</w:t>
      </w:r>
    </w:p>
    <w:bookmarkEnd w:id="10"/>
    <w:bookmarkStart w:id="11" w:name="methods"/>
    <w:p>
      <w:pPr>
        <w:pStyle w:val="Heading2"/>
      </w:pPr>
      <w:r>
        <w:t xml:space="preserve">2. Methods</w:t>
      </w:r>
    </w:p>
    <w:p>
      <w:pPr>
        <w:pStyle w:val="BlockText"/>
      </w:pPr>
      <w:r>
        <w:t xml:space="preserve">자세한 방법은 시스템 manuscript (</w:t>
      </w:r>
      <w:r>
        <w:rPr>
          <w:rStyle w:val="VerbatimChar"/>
        </w:rPr>
        <w:t xml:space="preserve">manuscript_system/system_manuscript.md</w:t>
      </w:r>
      <w:r>
        <w:t xml:space="preserve">) 참조.</w:t>
      </w:r>
    </w:p>
    <w:bookmarkEnd w:id="11"/>
    <w:bookmarkStart w:id="16" w:name="results"/>
    <w:p>
      <w:pPr>
        <w:pStyle w:val="Heading2"/>
      </w:pPr>
      <w:r>
        <w:t xml:space="preserve">3. Results</w:t>
      </w:r>
    </w:p>
    <w:bookmarkStart w:id="12" w:name="egcg-multi-disease-affinity-profile"/>
    <w:p>
      <w:pPr>
        <w:pStyle w:val="Heading3"/>
      </w:pPr>
      <w:r>
        <w:t xml:space="preserve">3.1 EGCG multi-disease affinity profile</w:t>
      </w:r>
    </w:p>
    <w:p>
      <w:pPr>
        <w:pStyle w:val="FirstParagraph"/>
      </w:pPr>
      <w:r>
        <w:t xml:space="preserve">본 연구는 102 천연물·14 타겟·5 질환 매트릭스에서 EGCG가</w:t>
      </w:r>
      <w:r>
        <w:t xml:space="preserve"> </w:t>
      </w:r>
      <w:r>
        <w:rPr>
          <w:b/>
          <w:bCs/>
        </w:rPr>
        <w:t xml:space="preserve">단일 화합물로 유일하게</w:t>
      </w:r>
      <w:r>
        <w:t xml:space="preserve"> </w:t>
      </w:r>
      <w:r>
        <w:t xml:space="preserve">5개 질환 모두에 대해 mean affinity ≥ 0.5를 보임을 확인했다 (Table 1).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EGCG predicted multi-disease binding.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Consensus affinity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Topical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alopecia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</w:tr>
    </w:tbl>
    <w:bookmarkEnd w:id="12"/>
    <w:bookmarkStart w:id="13" w:name="ns-md-ligand-stability-validation"/>
    <w:p>
      <w:pPr>
        <w:pStyle w:val="Heading3"/>
      </w:pPr>
      <w:r>
        <w:t xml:space="preserve">3.2 10 ns MD ligand stability validation</w:t>
      </w:r>
    </w:p>
    <w:p>
      <w:pPr>
        <w:pStyle w:val="FirstParagraph"/>
      </w:pPr>
      <w:r>
        <w:t xml:space="preserve">EGCG는 흉터 3 타겟에 대한 10 ns AMBER+GAFF MD에서</w:t>
      </w:r>
      <w:r>
        <w:t xml:space="preserve"> </w:t>
      </w:r>
      <w:r>
        <w:rPr>
          <w:b/>
          <w:bCs/>
        </w:rPr>
        <w:t xml:space="preserve">9개 상위 후보 중 가장 안정</w:t>
      </w:r>
      <w:r>
        <w:t xml:space="preserve">한</w:t>
      </w:r>
      <w:r>
        <w:t xml:space="preserve"> </w:t>
      </w:r>
      <w:r>
        <w:t xml:space="preserve">ligand RMSD를 보였다 (Table 2, Figure 5).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EGCG MD ligand RMSD over 10 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RMSD mean (Å)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RMSD max (Å)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RMSD final (Å)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TGFB1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CTGF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</w:tr>
    </w:tbl>
    <w:p>
      <w:pPr>
        <w:pStyle w:val="BodyText"/>
      </w:pPr>
      <w:r>
        <w:t xml:space="preserve">평균 1.45 Å로 비교군 (Embelin 1.74, Curcumin 1.79) 대비 가장 낮음.</w:t>
      </w:r>
      <w:r>
        <w:t xml:space="preserve"> </w:t>
      </w:r>
      <w:r>
        <w:t xml:space="preserve">모든 3 시뮬레이션에서 RMSD &lt; 2 Å mean — 우수한 결합 안정성.</w:t>
      </w:r>
    </w:p>
    <w:bookmarkEnd w:id="13"/>
    <w:bookmarkStart w:id="14" w:name="mechanistic-interpretation"/>
    <w:p>
      <w:pPr>
        <w:pStyle w:val="Heading3"/>
      </w:pPr>
      <w:r>
        <w:t xml:space="preserve">3.3 Mechanistic interpretation</w:t>
      </w:r>
    </w:p>
    <w:p>
      <w:pPr>
        <w:pStyle w:val="FirstParagraph"/>
      </w:pPr>
      <w:r>
        <w:t xml:space="preserve">EGCG가 4개의 functionally 다른 단백질 family (zinc-protease, copper-binding</w:t>
      </w:r>
      <w:r>
        <w:t xml:space="preserve"> </w:t>
      </w:r>
      <w:r>
        <w:t xml:space="preserve">oxidase, NAD-dependent deacetylase, nuclear receptor)에 결합 가능한 것은</w:t>
      </w:r>
      <w:r>
        <w:t xml:space="preserve"> </w:t>
      </w:r>
      <w:r>
        <w:t xml:space="preserve">다음으로 설명될 수 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hydroxyl group</w:t>
      </w:r>
      <w:r>
        <w:t xml:space="preserve"> </w:t>
      </w:r>
      <w:r>
        <w:t xml:space="preserve">(8개 OH) — H-bond donor 풍부, Zn²⁺ chelation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Aromatic gallate ester</w:t>
      </w:r>
      <w:r>
        <w:t xml:space="preserve"> </w:t>
      </w:r>
      <w:r>
        <w:t xml:space="preserve">— π-stacking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Pyrogallol moiety</w:t>
      </w:r>
      <w:r>
        <w:t xml:space="preserve"> </w:t>
      </w:r>
      <w:r>
        <w:t xml:space="preserve">— Cu²⁺ chelation (TYR active site)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분자량 458 Da</w:t>
      </w:r>
      <w:r>
        <w:t xml:space="preserve"> </w:t>
      </w:r>
      <w:r>
        <w:t xml:space="preserve">— 중간 크기, 다중 binding pocket 적합</w:t>
      </w:r>
    </w:p>
    <w:bookmarkEnd w:id="14"/>
    <w:bookmarkStart w:id="15" w:name="topical-formulation-considerations"/>
    <w:p>
      <w:pPr>
        <w:pStyle w:val="Heading3"/>
      </w:pPr>
      <w:r>
        <w:t xml:space="preserve">3.4 Topical formulation considerations</w:t>
      </w:r>
    </w:p>
    <w:p>
      <w:pPr>
        <w:pStyle w:val="FirstParagraph"/>
      </w:pPr>
      <w:r>
        <w:t xml:space="preserve">EGCG의 ADMET profile (logP 2.23, MW 458, hERG 0.41) 은 외용제 적합 범위에</w:t>
      </w:r>
      <w:r>
        <w:t xml:space="preserve"> </w:t>
      </w:r>
      <w:r>
        <w:t xml:space="preserve">있으나</w:t>
      </w:r>
      <w:r>
        <w:t xml:space="preserve"> </w:t>
      </w:r>
      <w:r>
        <w:rPr>
          <w:b/>
          <w:bCs/>
        </w:rPr>
        <w:t xml:space="preserve">hERG 위험 0.41</w:t>
      </w:r>
      <w:r>
        <w:t xml:space="preserve">은 경계선. 흡수 최소화 (encapsulation, large MW</w:t>
      </w:r>
      <w:r>
        <w:t xml:space="preserve"> </w:t>
      </w:r>
      <w:r>
        <w:t xml:space="preserve">prodrug) 전략 권장.</w:t>
      </w:r>
    </w:p>
    <w:bookmarkEnd w:id="15"/>
    <w:bookmarkEnd w:id="16"/>
    <w:bookmarkStart w:id="19" w:name="discussion"/>
    <w:p>
      <w:pPr>
        <w:pStyle w:val="Heading2"/>
      </w:pPr>
      <w:r>
        <w:t xml:space="preserve">4. Discussion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placeholder.</w:t>
      </w:r>
      <w:r>
        <w:t xml:space="preserve"> </w:t>
      </w:r>
      <w:r>
        <w:t xml:space="preserve">Selectivity vs polypharmacology 논의, 임상 시사점.</w:t>
      </w:r>
    </w:p>
    <w:bookmarkStart w:id="17" w:name="comparison-to-traditional-asian-medicine"/>
    <w:p>
      <w:pPr>
        <w:pStyle w:val="Heading3"/>
      </w:pPr>
      <w:r>
        <w:t xml:space="preserve">4.1 Comparison to traditional Asian medicine</w:t>
      </w:r>
    </w:p>
    <w:p>
      <w:pPr>
        <w:pStyle w:val="FirstParagraph"/>
      </w:pPr>
      <w:r>
        <w:t xml:space="preserve">녹차 외용 (Polyphenon E, 일본 임상 승인)은 anti-photoaging 적응증에 사용. 본 연구는</w:t>
      </w:r>
      <w:r>
        <w:t xml:space="preserve"> </w:t>
      </w:r>
      <w:r>
        <w:t xml:space="preserve">EGCG의 anti-scar / anti-melasma / anti-alopecia 효능에 대한</w:t>
      </w:r>
      <w:r>
        <w:t xml:space="preserve"> </w:t>
      </w:r>
      <w:r>
        <w:rPr>
          <w:b/>
          <w:bCs/>
        </w:rPr>
        <w:t xml:space="preserve">분자 수준 정당화</w:t>
      </w:r>
      <w:r>
        <w:t xml:space="preserve">를</w:t>
      </w:r>
      <w:r>
        <w:t xml:space="preserve"> </w:t>
      </w:r>
      <w:r>
        <w:t xml:space="preserve">제공한다.</w:t>
      </w:r>
    </w:p>
    <w:bookmarkEnd w:id="17"/>
    <w:bookmarkStart w:id="18" w:name="limitations"/>
    <w:p>
      <w:pPr>
        <w:pStyle w:val="Heading3"/>
      </w:pPr>
      <w:r>
        <w:t xml:space="preserve">4.2 Limitations</w:t>
      </w:r>
    </w:p>
    <w:p>
      <w:pPr>
        <w:pStyle w:val="Compact"/>
        <w:numPr>
          <w:ilvl w:val="0"/>
          <w:numId w:val="1001"/>
        </w:numPr>
      </w:pPr>
      <w:r>
        <w:t xml:space="preserve">in silico 단독; in vitro IC50 검증 필요 (top 5 hit per disease: $20-30k 견적)</w:t>
      </w:r>
    </w:p>
    <w:p>
      <w:pPr>
        <w:pStyle w:val="Compact"/>
        <w:numPr>
          <w:ilvl w:val="0"/>
          <w:numId w:val="1001"/>
        </w:numPr>
      </w:pPr>
      <w:r>
        <w:t xml:space="preserve">Boltz-2 affinity는 binary classifier로 정확하나 quantitative ranking은 한계</w:t>
      </w:r>
    </w:p>
    <w:bookmarkEnd w:id="18"/>
    <w:bookmarkEnd w:id="19"/>
    <w:bookmarkStart w:id="20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EGCG는 한국 한방 외용제 컨텍스트에서</w:t>
      </w:r>
      <w:r>
        <w:t xml:space="preserve"> </w:t>
      </w:r>
      <w:r>
        <w:rPr>
          <w:b/>
          <w:bCs/>
        </w:rPr>
        <w:t xml:space="preserve">universal skin-protective compound</w:t>
      </w:r>
      <w:r>
        <w:t xml:space="preserve">로</w:t>
      </w:r>
      <w:r>
        <w:t xml:space="preserve"> </w:t>
      </w:r>
      <w:r>
        <w:t xml:space="preserve">재해석 가능하며, 5개 질환 동시 적용 multi-formulation 개발의 출발점이 된다.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Epigallocatechin-3-gallate (EGCG) as a universal anti-skin-disease compound: structure-based affinity to TGF-β1, MMP-1, CTGF, tyrosinase, 5α-reductase 2, and SIRT1, with 10 ns MD validation</dc:title>
  <dc:creator/>
  <cp:keywords/>
  <dcterms:created xsi:type="dcterms:W3CDTF">2026-04-25T10:59:33Z</dcterms:created>
  <dcterms:modified xsi:type="dcterms:W3CDTF">2026-04-25T10:59:33Z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graphy">
    <vt:lpwstr>references.bib</vt:lpwstr>
  </property>
  <property fmtid="{D5CDD505-2E9C-101B-9397-08002B2CF9AE}" pid="4" name="correspondence">
    <vt:lpwstr>research@recover-clinic.kr</vt:lpwstr>
  </property>
  <property fmtid="{D5CDD505-2E9C-101B-9397-08002B2CF9AE}" pid="5" name="csl">
    <vt:lpwstr>phytomedicine.csl</vt:lpwstr>
  </property>
  <property fmtid="{D5CDD505-2E9C-101B-9397-08002B2CF9AE}" pid="6" name="date">
    <vt:lpwstr>2026-04-25</vt:lpwstr>
  </property>
  <property fmtid="{D5CDD505-2E9C-101B-9397-08002B2CF9AE}" pid="7" name="running-title">
    <vt:lpwstr>EGCG universal anti-skin</vt:lpwstr>
  </property>
</Properties>
</file>