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skin scar to systemic anti-fibrosis: scaffold-hop derivative of Embelin (EMB-3) modulates the master fibrotic switch network with predicted applicability to idiopathic pulmonary fibrosis</w:t>
      </w:r>
    </w:p>
    <w:p>
      <w:pPr>
        <w:pStyle w:val="Date"/>
      </w:pPr>
      <w:r>
        <w:t xml:space="preserve">2026-04-25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Embelin (2,5-dihydroxy-3-undecyl-1,4-benzoquinone) is a</w:t>
      </w:r>
      <w:r>
        <w:t xml:space="preserve"> </w:t>
      </w:r>
      <w:r>
        <w:t xml:space="preserve">natural anti-fibrotic from</w:t>
      </w:r>
      <w:r>
        <w:t xml:space="preserve"> </w:t>
      </w:r>
      <w:r>
        <w:rPr>
          <w:i/>
          <w:iCs/>
        </w:rPr>
        <w:t xml:space="preserve">Embelia ribes</w:t>
      </w:r>
      <w:r>
        <w:t xml:space="preserve"> </w:t>
      </w:r>
      <w:r>
        <w:t xml:space="preserve">and several Korean traditional</w:t>
      </w:r>
      <w:r>
        <w:t xml:space="preserve"> </w:t>
      </w:r>
      <w:r>
        <w:t xml:space="preserve">herbs, but its high lipophilicity (logP 4.31), hERG affinity (predicted 0.40),</w:t>
      </w:r>
      <w:r>
        <w:t xml:space="preserve"> </w:t>
      </w:r>
      <w:r>
        <w:t xml:space="preserve">and skin-irritation potential (predicted 0.84) limit topical and systemic</w:t>
      </w:r>
      <w:r>
        <w:t xml:space="preserve"> </w:t>
      </w:r>
      <w:r>
        <w:t xml:space="preserve">development. We applied REINVENT 4 mol2mol scaffold-hopping followed by</w:t>
      </w:r>
      <w:r>
        <w:t xml:space="preserve"> </w:t>
      </w:r>
      <w:r>
        <w:t xml:space="preserve">ADMET-AI 2 filtering, Boltz-2 cofolding affinity prediction, and 10 ns</w:t>
      </w:r>
      <w:r>
        <w:t xml:space="preserve"> </w:t>
      </w:r>
      <w:r>
        <w:t xml:space="preserve">AMBER+GAFF molecular dynamics to derive a risk-stratified analog with</w:t>
      </w:r>
      <w:r>
        <w:t xml:space="preserve"> </w:t>
      </w:r>
      <w:r>
        <w:t xml:space="preserve">broad fibrotic-network coverage.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Embelin was used as the seed for REINVENT 4 mol2mol_medium_similarity</w:t>
      </w:r>
      <w:r>
        <w:t xml:space="preserve"> </w:t>
      </w:r>
      <w:r>
        <w:t xml:space="preserve">sampling (100 candidates). Variants were filtered for skin-topical compatibility</w:t>
      </w:r>
      <w:r>
        <w:t xml:space="preserve"> </w:t>
      </w:r>
      <w:r>
        <w:t xml:space="preserve">(MW ≤ 500, logP 1.5-3.5, HBD ≤ 5, TPSA ≤ 140) and tox-improvement relative to</w:t>
      </w:r>
      <w:r>
        <w:t xml:space="preserve"> </w:t>
      </w:r>
      <w:r>
        <w:t xml:space="preserve">the seed (≥ 2 of hERG/Skin_Reaction/AMES improved, no regression &gt; 0.05).</w:t>
      </w:r>
      <w:r>
        <w:t xml:space="preserve"> </w:t>
      </w:r>
      <w:r>
        <w:t xml:space="preserve">Top-3 candidates were validated against TGF-β1, MMP-1, and CTGF by Boltz-2</w:t>
      </w:r>
      <w:r>
        <w:t xml:space="preserve"> </w:t>
      </w:r>
      <w:r>
        <w:t xml:space="preserve">affinity prediction (binary classifier head). The lead (EMB-3) and its</w:t>
      </w:r>
      <w:r>
        <w:t xml:space="preserve"> </w:t>
      </w:r>
      <w:r>
        <w:t xml:space="preserve">ranked-3rd analog (EMB-3 short name in this paper) underwent 10 ns</w:t>
      </w:r>
      <w:r>
        <w:t xml:space="preserve"> </w:t>
      </w:r>
      <w:r>
        <w:t xml:space="preserve">AMBER ff14SB + GAFF-2.11 MD with OpenFF charge assignment. Multi-target</w:t>
      </w:r>
      <w:r>
        <w:t xml:space="preserve"> </w:t>
      </w:r>
      <w:r>
        <w:t xml:space="preserve">network coverage was evaluated against 7 anti-fibrotic targets</w:t>
      </w:r>
      <w:r>
        <w:t xml:space="preserve"> </w:t>
      </w:r>
      <w:r>
        <w:t xml:space="preserve">(TGF-β1, MMP-1, CTGF, Smad3, PDGFRB, JUN, LOX) and 2 selectivity-test</w:t>
      </w:r>
      <w:r>
        <w:t xml:space="preserve"> </w:t>
      </w:r>
      <w:r>
        <w:t xml:space="preserve">targets (FGF2, VEGFA). Cross-disease applicability was scored using</w:t>
      </w:r>
      <w:r>
        <w:t xml:space="preserve"> </w:t>
      </w:r>
      <w:r>
        <w:t xml:space="preserve">Open Targets associations weighted by EMB-3 affinity.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b/>
          <w:bCs/>
        </w:rPr>
        <w:t xml:space="preserve">EMB-3</w:t>
      </w:r>
      <w:r>
        <w:t xml:space="preserve"> </w:t>
      </w:r>
      <w:r>
        <w:t xml:space="preserve">(</w:t>
      </w:r>
      <w:r>
        <w:rPr>
          <w:rStyle w:val="VerbatimChar"/>
        </w:rPr>
        <w:t xml:space="preserve">CCCCCCCCC1=C(O)C(O)C(C(=O)O)=C(O)C1=O</w:t>
      </w:r>
      <w:r>
        <w:t xml:space="preserve">,</w:t>
      </w:r>
      <w:r>
        <w:t xml:space="preserve"> </w:t>
      </w:r>
      <w:r>
        <w:t xml:space="preserve">MW 224, logP 2.39, Tanimoto-to-seed 0.50) showed predicted hERG of</w:t>
      </w:r>
      <w:r>
        <w:t xml:space="preserve"> </w:t>
      </w:r>
      <w:r>
        <w:rPr>
          <w:b/>
          <w:bCs/>
        </w:rPr>
        <w:t xml:space="preserve">0.16</w:t>
      </w:r>
      <w:r>
        <w:t xml:space="preserve"> </w:t>
      </w:r>
      <w:r>
        <w:t xml:space="preserve">(-61% vs Embelin), Skin_Reaction</w:t>
      </w:r>
      <w:r>
        <w:t xml:space="preserve"> </w:t>
      </w:r>
      <w:r>
        <w:rPr>
          <w:b/>
          <w:bCs/>
        </w:rPr>
        <w:t xml:space="preserve">0.67</w:t>
      </w:r>
      <w:r>
        <w:t xml:space="preserve"> </w:t>
      </w:r>
      <w:r>
        <w:t xml:space="preserve">(-20%), and topical-optimal</w:t>
      </w:r>
      <w:r>
        <w:t xml:space="preserve"> </w:t>
      </w:r>
      <w:r>
        <w:t xml:space="preserve">logP. Boltz-2 affinity to TGF-β1 was</w:t>
      </w:r>
      <w:r>
        <w:t xml:space="preserve"> </w:t>
      </w:r>
      <w:r>
        <w:rPr>
          <w:b/>
          <w:bCs/>
        </w:rPr>
        <w:t xml:space="preserve">0.749</w:t>
      </w:r>
      <w:r>
        <w:t xml:space="preserve"> </w:t>
      </w:r>
      <w:r>
        <w:t xml:space="preserve">(Embelin 0.675), MMP-1 0.674,</w:t>
      </w:r>
      <w:r>
        <w:t xml:space="preserve"> </w:t>
      </w:r>
      <w:r>
        <w:t xml:space="preserve">CTGF 0.678, Smad3 0.649, PDGFRB 0.640 — covering the canonical fibrotic</w:t>
      </w:r>
      <w:r>
        <w:t xml:space="preserve"> </w:t>
      </w:r>
      <w:r>
        <w:t xml:space="preserve">master switch network from receptor to extracellular matrix. JUN affinity</w:t>
      </w:r>
      <w:r>
        <w:t xml:space="preserve"> </w:t>
      </w:r>
      <w:r>
        <w:t xml:space="preserve">was lower (0.497), defining the single network gap. Selectivity against</w:t>
      </w:r>
      <w:r>
        <w:t xml:space="preserve"> </w:t>
      </w:r>
      <w:r>
        <w:t xml:space="preserve">FGF2 (0.484) and VEGFA (0.563) was confirmed (anti-fibrotic mean</w:t>
      </w:r>
      <w:r>
        <w:t xml:space="preserve"> </w:t>
      </w:r>
      <w:r>
        <w:t xml:space="preserve">−pro-regen mean = +0.114). 10-ns ligand RMSD on MMP-1 was</w:t>
      </w:r>
      <w:r>
        <w:t xml:space="preserve"> </w:t>
      </w:r>
      <w:r>
        <w:rPr>
          <w:b/>
          <w:bCs/>
        </w:rPr>
        <w:t xml:space="preserve">0.79 Å mean</w:t>
      </w:r>
      <w:r>
        <w:t xml:space="preserve">,</w:t>
      </w:r>
      <w:r>
        <w:t xml:space="preserve"> </w:t>
      </w:r>
      <w:r>
        <w:t xml:space="preserve">51% more stable than the Embelin seed (1.70 Å), and on TGF-β1 1.31 Å</w:t>
      </w:r>
      <w:r>
        <w:t xml:space="preserve"> </w:t>
      </w:r>
      <w:r>
        <w:t xml:space="preserve">(vs 1.59 Å). Cross-disease scoring identified</w:t>
      </w:r>
      <w:r>
        <w:t xml:space="preserve"> </w:t>
      </w:r>
      <w:r>
        <w:rPr>
          <w:b/>
          <w:bCs/>
        </w:rPr>
        <w:t xml:space="preserve">idiopathic pulmonary</w:t>
      </w:r>
      <w:r>
        <w:rPr>
          <w:b/>
          <w:bCs/>
        </w:rPr>
        <w:t xml:space="preserve"> </w:t>
      </w:r>
      <w:r>
        <w:rPr>
          <w:b/>
          <w:bCs/>
        </w:rPr>
        <w:t xml:space="preserve">fibrosis (6/7 targets, weighted 0.90)</w:t>
      </w:r>
      <w:r>
        <w:t xml:space="preserve">, systemic scleroderma (7/7),</w:t>
      </w:r>
      <w:r>
        <w:t xml:space="preserve"> </w:t>
      </w:r>
      <w:r>
        <w:t xml:space="preserve">renal/hepatic fibrosis (5/7) as primary repurposing candidates.</w:t>
      </w:r>
      <w:r>
        <w:t xml:space="preserve"> </w:t>
      </w:r>
      <w:r>
        <w:t xml:space="preserve">Full-length P01137 cofolding showed canonical-site binding (Δ −0.032 vs</w:t>
      </w:r>
      <w:r>
        <w:t xml:space="preserve"> </w:t>
      </w:r>
      <w:r>
        <w:t xml:space="preserve">mature TGF-β1), excluding the LAP-allosteric mode hypothesized initially.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EMB-3 is a network-level fibrotic switch modulator with</w:t>
      </w:r>
      <w:r>
        <w:t xml:space="preserve"> </w:t>
      </w:r>
      <w:r>
        <w:t xml:space="preserve">improved cardio-cutaneous safety profile and predicted applicability beyond</w:t>
      </w:r>
      <w:r>
        <w:t xml:space="preserve"> </w:t>
      </w:r>
      <w:r>
        <w:t xml:space="preserve">skin scar to systemic fibrosis (IPF, scleroderma). The end-to-end</w:t>
      </w:r>
      <w:r>
        <w:t xml:space="preserve"> </w:t>
      </w:r>
      <w:r>
        <w:t xml:space="preserve">pipeline (50 min from seed to validated lead) demonstrates the utility of</w:t>
      </w:r>
      <w:r>
        <w:t xml:space="preserve"> </w:t>
      </w:r>
      <w:r>
        <w:t xml:space="preserve">modern AI-driven natural-product optimization for traditional medicine</w:t>
      </w:r>
      <w:r>
        <w:t xml:space="preserve"> </w:t>
      </w:r>
      <w:r>
        <w:t xml:space="preserve">hits.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Embelin, scaffold hopping, REINVENT 4, Boltz-2, anti-fibrotic,</w:t>
      </w:r>
      <w:r>
        <w:t xml:space="preserve"> </w:t>
      </w:r>
      <w:r>
        <w:t xml:space="preserve">IPF, idiopathic pulmonary fibrosis, multi-target, Korean traditional medicine.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placeholder.</w:t>
      </w:r>
      <w:r>
        <w:t xml:space="preserve"> </w:t>
      </w:r>
      <w:r>
        <w:t xml:space="preserve">Embelin pharmacology + multi-target dermatology context.</w:t>
      </w:r>
      <w:r>
        <w:t xml:space="preserve"> </w:t>
      </w:r>
      <w:r>
        <w:t xml:space="preserve">Cite anti-fibrotic literature, hERG concern, traditional herbal context.</w:t>
      </w:r>
    </w:p>
    <w:bookmarkEnd w:id="10"/>
    <w:bookmarkStart w:id="16" w:name="methods"/>
    <w:p>
      <w:pPr>
        <w:pStyle w:val="Heading2"/>
      </w:pPr>
      <w:r>
        <w:t xml:space="preserve">2. Methods</w:t>
      </w:r>
    </w:p>
    <w:bookmarkStart w:id="11" w:name="reinvent-4-mol2mol-scaffold-hopping"/>
    <w:p>
      <w:pPr>
        <w:pStyle w:val="Heading3"/>
      </w:pPr>
      <w:r>
        <w:t xml:space="preserve">2.1 REINVENT 4 mol2mol scaffold hopping</w:t>
      </w:r>
    </w:p>
    <w:p>
      <w:pPr>
        <w:pStyle w:val="FirstParagraph"/>
      </w:pPr>
      <w:r>
        <w:t xml:space="preserve">Embelin SMILES (</w:t>
      </w:r>
      <w:r>
        <w:rPr>
          <w:rStyle w:val="VerbatimChar"/>
        </w:rPr>
        <w:t xml:space="preserve">CCCCCCCCCCCC1=C(C(=O)C=C(C1=O)O)O</w:t>
      </w:r>
      <w:r>
        <w:t xml:space="preserve">) was input to REINVENT 4.7.15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mol2mol_medium_similarity.prior</w:t>
      </w:r>
      <w:r>
        <w:t xml:space="preserve"> </w:t>
      </w:r>
      <w:r>
        <w:t xml:space="preserve">sampler (100 SMILES, multinomial,</w:t>
      </w:r>
      <w:r>
        <w:t xml:space="preserve"> </w:t>
      </w:r>
      <w:r>
        <w:t xml:space="preserve">T=1.0, randomize_smiles).</w:t>
      </w:r>
    </w:p>
    <w:bookmarkEnd w:id="11"/>
    <w:bookmarkStart w:id="12" w:name="admet-ai-2-filtering-and-ranking"/>
    <w:p>
      <w:pPr>
        <w:pStyle w:val="Heading3"/>
      </w:pPr>
      <w:r>
        <w:t xml:space="preserve">2.2 ADMET-AI 2 filtering and ranking</w:t>
      </w:r>
    </w:p>
    <w:p>
      <w:pPr>
        <w:pStyle w:val="FirstParagraph"/>
      </w:pPr>
      <w:r>
        <w:t xml:space="preserve">ADMET-AI 2.0.1 (chemprop 2.2.3) predicted hERG, Skin_Reaction, AMES,</w:t>
      </w:r>
      <w:r>
        <w:t xml:space="preserve"> </w:t>
      </w:r>
      <w:r>
        <w:t xml:space="preserve">ClinTox, Bioavailability_Ma, Solubility_AqSolDB. Composite score weighted</w:t>
      </w:r>
      <w:r>
        <w:t xml:space="preserve"> </w:t>
      </w:r>
      <w:r>
        <w:t xml:space="preserve">hERG (0.35), Skin_Reaction (0.25), AMES (0.10), logP-distance to 2.5 (0.20),</w:t>
      </w:r>
      <w:r>
        <w:t xml:space="preserve"> </w:t>
      </w:r>
      <w:r>
        <w:t xml:space="preserve">MW penalty (0.10).</w:t>
      </w:r>
    </w:p>
    <w:bookmarkEnd w:id="12"/>
    <w:bookmarkStart w:id="13" w:name="boltz-2-cofolding"/>
    <w:p>
      <w:pPr>
        <w:pStyle w:val="Heading3"/>
      </w:pPr>
      <w:r>
        <w:t xml:space="preserve">2.3 Boltz-2 cofolding</w:t>
      </w:r>
    </w:p>
    <w:p>
      <w:pPr>
        <w:pStyle w:val="FirstParagraph"/>
      </w:pPr>
      <w:r>
        <w:t xml:space="preserve">Boltz-2 with cuEquivariance 0.10 acceleration on RTX 5090. Pre-cached</w:t>
      </w:r>
      <w:r>
        <w:t xml:space="preserve"> </w:t>
      </w:r>
      <w:r>
        <w:t xml:space="preserve">ColabFold MSA (UniProt P01137 mature, P03956, P29279, plus 6 additional</w:t>
      </w:r>
      <w:r>
        <w:t xml:space="preserve"> </w:t>
      </w:r>
      <w:r>
        <w:t xml:space="preserve">network targets). Sampling 25 steps, 5 affinity diffusion samples, MW correction.</w:t>
      </w:r>
    </w:p>
    <w:bookmarkEnd w:id="13"/>
    <w:bookmarkStart w:id="14" w:name="molecular-dynamics"/>
    <w:p>
      <w:pPr>
        <w:pStyle w:val="Heading3"/>
      </w:pPr>
      <w:r>
        <w:t xml:space="preserve">2.4 Molecular dynamics</w:t>
      </w:r>
    </w:p>
    <w:p>
      <w:pPr>
        <w:pStyle w:val="FirstParagraph"/>
      </w:pPr>
      <w:r>
        <w:t xml:space="preserve">OpenMM 8.5.1 + AMBER ff14SB + GAFF-2.11 + OpenFF AM1-BCC charges via</w:t>
      </w:r>
      <w:r>
        <w:t xml:space="preserve"> </w:t>
      </w:r>
      <w:r>
        <w:t xml:space="preserve">ambertools sqm. PDBFixer for residue capping, 10 ns LangevinMiddleIntegrator</w:t>
      </w:r>
      <w:r>
        <w:t xml:space="preserve"> </w:t>
      </w:r>
      <w:r>
        <w:t xml:space="preserve">at 310 K. Ligand RMSD via mdtraj.</w:t>
      </w:r>
    </w:p>
    <w:bookmarkEnd w:id="14"/>
    <w:bookmarkStart w:id="15" w:name="cross-disease-scoring"/>
    <w:p>
      <w:pPr>
        <w:pStyle w:val="Heading3"/>
      </w:pPr>
      <w:r>
        <w:t xml:space="preserve">2.5 Cross-disease scoring</w:t>
      </w:r>
    </w:p>
    <w:p>
      <w:pPr>
        <w:pStyle w:val="FirstParagraph"/>
      </w:pPr>
      <w:r>
        <w:t xml:space="preserve">Open Targets GraphQL</w:t>
      </w:r>
      <w:r>
        <w:t xml:space="preserve"> </w:t>
      </w:r>
      <w:r>
        <w:rPr>
          <w:rStyle w:val="VerbatimChar"/>
        </w:rPr>
        <w:t xml:space="preserve">target → associatedDiseases</w:t>
      </w:r>
      <w:r>
        <w:t xml:space="preserve"> </w:t>
      </w:r>
      <w:r>
        <w:t xml:space="preserve">(size 300) for 7</w:t>
      </w:r>
      <w:r>
        <w:t xml:space="preserve"> </w:t>
      </w:r>
      <w:r>
        <w:t xml:space="preserve">anti-fibrotic targets. Disease score =</w:t>
      </w:r>
      <w:r>
        <w:t xml:space="preserve"> </w:t>
      </w:r>
      <w:r>
        <w:t xml:space="preserve">Σ over targets of (OT_association × EMB-3_affinity), filtered to</w:t>
      </w:r>
      <w:r>
        <w:t xml:space="preserve"> </w:t>
      </w:r>
      <w:r>
        <w:t xml:space="preserve">non-skin fibrosis indications.</w:t>
      </w:r>
    </w:p>
    <w:bookmarkEnd w:id="15"/>
    <w:bookmarkEnd w:id="16"/>
    <w:bookmarkStart w:id="22" w:name="results"/>
    <w:p>
      <w:pPr>
        <w:pStyle w:val="Heading2"/>
      </w:pPr>
      <w:r>
        <w:t xml:space="preserve">3. Results</w:t>
      </w:r>
    </w:p>
    <w:bookmarkStart w:id="17" w:name="scaffold-hop-derivation-of-emb-3"/>
    <w:p>
      <w:pPr>
        <w:pStyle w:val="Heading3"/>
      </w:pPr>
      <w:r>
        <w:t xml:space="preserve">3.1 Scaffold-hop derivation of EMB-3</w:t>
      </w:r>
    </w:p>
    <w:p>
      <w:pPr>
        <w:pStyle w:val="FirstParagraph"/>
      </w:pPr>
      <w:r>
        <w:t xml:space="preserve">REINVENT 4 mol2mol sampling generated 83 unique variants from Embelin.</w:t>
      </w:r>
      <w:r>
        <w:t xml:space="preserve"> </w:t>
      </w:r>
      <w:r>
        <w:t xml:space="preserve">ADMET filtering yielded 52 topical-compatible candidates and 34 tox-improved</w:t>
      </w:r>
      <w:r>
        <w:t xml:space="preserve"> </w:t>
      </w:r>
      <w:r>
        <w:t xml:space="preserve">relative to seed. The composite top-1 (EMB-3) is shown in Table 1.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EMB-3 vs Embelin seed.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Embelin (seed)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 (−61%)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Skin_Reaction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 (−20%)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Tanimoto-to-seed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17"/>
    <w:bookmarkStart w:id="18" w:name="multi-target-fibrotic-network-coverage"/>
    <w:p>
      <w:pPr>
        <w:pStyle w:val="Heading3"/>
      </w:pPr>
      <w:r>
        <w:t xml:space="preserve">3.2 Multi-target fibrotic network coverage</w:t>
      </w:r>
    </w:p>
    <w:p>
      <w:pPr>
        <w:pStyle w:val="FirstParagraph"/>
      </w:pPr>
      <w:r>
        <w:t xml:space="preserve">Boltz-2 affinity_probability_binary across 9 targets is shown in Table 2.</w:t>
      </w:r>
      <w:r>
        <w:t xml:space="preserve"> </w:t>
      </w:r>
      <w:r>
        <w:t xml:space="preserve">EMB-3 covered 6 of 7 anti-fibrotic targets (≥ 0.5), with the canonical</w:t>
      </w:r>
      <w:r>
        <w:t xml:space="preserve"> </w:t>
      </w:r>
      <w:r>
        <w:t xml:space="preserve">master switch hierarchy intact: receptor (TGF-β1 0.749) → signaling</w:t>
      </w:r>
      <w:r>
        <w:t xml:space="preserve"> </w:t>
      </w:r>
      <w:r>
        <w:t xml:space="preserve">(SMAD3 0.649) → effector (CTGF 0.678) → ECM (MMP-1 0.674).</w:t>
      </w:r>
      <w:r>
        <w:t xml:space="preserve"> </w:t>
      </w:r>
      <w:r>
        <w:t xml:space="preserve">PDGFRB (0.640) provided myofibroblast-axis coverage. JUN was the single</w:t>
      </w:r>
      <w:r>
        <w:t xml:space="preserve"> </w:t>
      </w:r>
      <w:r>
        <w:t xml:space="preserve">network gap (0.497).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Affinity_probability_binary across the fibrotic-network panel.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CTGF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FGF2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MMP1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PDGFRB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TGFB1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VEGFA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</w:t>
            </w:r>
          </w:p>
        </w:tc>
      </w:tr>
    </w:tbl>
    <w:bookmarkEnd w:id="18"/>
    <w:bookmarkStart w:id="19" w:name="ns-md-ligand-stability"/>
    <w:p>
      <w:pPr>
        <w:pStyle w:val="Heading3"/>
      </w:pPr>
      <w:r>
        <w:t xml:space="preserve">3.3 10-ns MD ligand stability</w:t>
      </w:r>
    </w:p>
    <w:p>
      <w:pPr>
        <w:pStyle w:val="FirstParagraph"/>
      </w:pPr>
      <w:r>
        <w:t xml:space="preserve">EMB-3 showed exceptional ligand stability on MMP-1 (mean RMSD 0.79 Å,</w:t>
      </w:r>
      <w:r>
        <w:t xml:space="preserve"> </w:t>
      </w:r>
      <w:r>
        <w:t xml:space="preserve">max 1.38 Å, final 0.81 Å), 53% more stable than Embelin seed (Table 3).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EMB-3 ligand RMSD (Å) over 10 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EMB1 × TGFB1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EMB1 × MMP1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EMB3 × TGFB1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EMB3 × MMP1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</w:tr>
    </w:tbl>
    <w:bookmarkEnd w:id="19"/>
    <w:bookmarkStart w:id="20" w:name="cross-disease-applicability"/>
    <w:p>
      <w:pPr>
        <w:pStyle w:val="Heading3"/>
      </w:pPr>
      <w:r>
        <w:t xml:space="preserve">3.4 Cross-disease applicability</w:t>
      </w:r>
    </w:p>
    <w:p>
      <w:pPr>
        <w:pStyle w:val="FirstParagraph"/>
      </w:pPr>
      <w:r>
        <w:t xml:space="preserve">Open Targets disease-association scoring identified 18 non-skin fibrosis</w:t>
      </w:r>
      <w:r>
        <w:t xml:space="preserve"> </w:t>
      </w:r>
      <w:r>
        <w:t xml:space="preserve">indications where EMB-3 affinity covers ≥ 2 disease-associated targets</w:t>
      </w:r>
      <w:r>
        <w:t xml:space="preserve"> </w:t>
      </w:r>
      <w:r>
        <w:t xml:space="preserve">(Table 4).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Top non-skin fibrosis disease candidates for EMB-3.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Targets 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idiopathic pulmonary fibrosis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systemic scleroderma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pulmonary fibrosis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cystic fibrosis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Crohn’s disease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renal fibrosis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kidney disease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Hepatic fibrosis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</w:tbl>
    <w:p>
      <w:pPr>
        <w:pStyle w:val="BodyText"/>
      </w:pPr>
      <w:r>
        <w:t xml:space="preserve">The leading candidate is</w:t>
      </w:r>
      <w:r>
        <w:t xml:space="preserve"> </w:t>
      </w:r>
      <w:r>
        <w:rPr>
          <w:b/>
          <w:bCs/>
        </w:rPr>
        <w:t xml:space="preserve">idiopathic pulmonary fibrosis</w:t>
      </w:r>
      <w:r>
        <w:t xml:space="preserve"> </w:t>
      </w:r>
      <w:r>
        <w:t xml:space="preserve">(6 of 7 targets,</w:t>
      </w:r>
      <w:r>
        <w:t xml:space="preserve"> </w:t>
      </w:r>
      <w:r>
        <w:t xml:space="preserve">weighted 0.90). The current standard of care for IPF (pirfenidone, nintedanib)</w:t>
      </w:r>
      <w:r>
        <w:t xml:space="preserve"> </w:t>
      </w:r>
      <w:r>
        <w:t xml:space="preserve">addresses similar pathways but with limited multi-tier penetration.</w:t>
      </w:r>
    </w:p>
    <w:bookmarkEnd w:id="20"/>
    <w:bookmarkStart w:id="21" w:name="cryptic-pocket-negative-result"/>
    <w:p>
      <w:pPr>
        <w:pStyle w:val="Heading3"/>
      </w:pPr>
      <w:r>
        <w:t xml:space="preserve">3.5 Cryptic pocket negative result</w:t>
      </w:r>
    </w:p>
    <w:p>
      <w:pPr>
        <w:pStyle w:val="FirstParagraph"/>
      </w:pPr>
      <w:r>
        <w:t xml:space="preserve">Cofolding against the full-length P01137 (containing the LAP latency-associated</w:t>
      </w:r>
      <w:r>
        <w:t xml:space="preserve"> </w:t>
      </w:r>
      <w:r>
        <w:t xml:space="preserve">peptide) yielded mature-form delta of EMB-3 −0.032 (Table 5), indicating</w:t>
      </w:r>
      <w:r>
        <w:t xml:space="preserve"> </w:t>
      </w:r>
      <w:r>
        <w:t xml:space="preserve">canonical TGFBR-interface binding rather than allosteric LAP-bound modulation.</w:t>
      </w:r>
      <w:r>
        <w:t xml:space="preserve"> </w:t>
      </w:r>
      <w:r>
        <w:t xml:space="preserve">EMB-3 is therefore a</w:t>
      </w:r>
      <w:r>
        <w:t xml:space="preserve"> </w:t>
      </w:r>
      <w:r>
        <w:rPr>
          <w:i/>
          <w:iCs/>
        </w:rPr>
        <w:t xml:space="preserve">direct competitor</w:t>
      </w:r>
      <w:r>
        <w:t xml:space="preserve"> </w:t>
      </w:r>
      <w:r>
        <w:t xml:space="preserve">of TGFBR signaling.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Mature vs full-length TGF-β1 binding.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full-length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−0.079</w:t>
            </w:r>
          </w:p>
        </w:tc>
      </w:tr>
    </w:tbl>
    <w:bookmarkEnd w:id="21"/>
    <w:bookmarkEnd w:id="22"/>
    <w:bookmarkStart w:id="24" w:name="discussion"/>
    <w:p>
      <w:pPr>
        <w:pStyle w:val="Heading2"/>
      </w:pPr>
      <w:r>
        <w:t xml:space="preserve">4. Discussion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i/>
          <w:iCs/>
        </w:rPr>
        <w:t xml:space="preserve">placeholder.</w:t>
      </w:r>
      <w:r>
        <w:t xml:space="preserve"> </w:t>
      </w:r>
      <w:r>
        <w:t xml:space="preserve">Compare to existing anti-fibrotic AI/scaffold hop work,</w:t>
      </w:r>
      <w:r>
        <w:t xml:space="preserve"> </w:t>
      </w:r>
      <w:r>
        <w:t xml:space="preserve">discuss IPF translational potential, regulatory pathway considerations,</w:t>
      </w:r>
      <w:r>
        <w:t xml:space="preserve"> </w:t>
      </w:r>
      <w:r>
        <w:t xml:space="preserve">Korean traditional medicine context (Embelia ribes / </w:t>
      </w:r>
      <w:r>
        <w:rPr>
          <w:rFonts w:hint="eastAsia"/>
        </w:rPr>
        <w:t xml:space="preserve">鳥不止</w:t>
      </w:r>
      <w:r>
        <w:t xml:space="preserve"> / 자단).</w:t>
      </w:r>
    </w:p>
    <w:bookmarkStart w:id="23" w:name="limitations"/>
    <w:p>
      <w:pPr>
        <w:pStyle w:val="Heading3"/>
      </w:pPr>
      <w:r>
        <w:t xml:space="preserve">4.1 Limitations</w:t>
      </w:r>
    </w:p>
    <w:p>
      <w:pPr>
        <w:pStyle w:val="Compact"/>
        <w:numPr>
          <w:ilvl w:val="0"/>
          <w:numId w:val="1001"/>
        </w:numPr>
      </w:pPr>
      <w:r>
        <w:t xml:space="preserve">in silico only; in vitro IC50 confirmation required for EMB-3 × TGFB1, MMP-1.</w:t>
      </w:r>
    </w:p>
    <w:p>
      <w:pPr>
        <w:pStyle w:val="Compact"/>
        <w:numPr>
          <w:ilvl w:val="0"/>
          <w:numId w:val="1001"/>
        </w:numPr>
      </w:pPr>
      <w:r>
        <w:t xml:space="preserve">Boltz-2 binary classifier — quantitative ranking via ABFE pending.</w:t>
      </w:r>
    </w:p>
    <w:p>
      <w:pPr>
        <w:pStyle w:val="Compact"/>
        <w:numPr>
          <w:ilvl w:val="0"/>
          <w:numId w:val="1001"/>
        </w:numPr>
      </w:pPr>
      <w:r>
        <w:t xml:space="preserve">Single-snapshot MD; ensemble (AlphaFlow, BioEmu) not yet integrated.</w:t>
      </w:r>
    </w:p>
    <w:bookmarkEnd w:id="23"/>
    <w:bookmarkEnd w:id="24"/>
    <w:bookmarkStart w:id="25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EMB-3 represents a Korean-traditional-medicine-inspired multi-tier</w:t>
      </w:r>
      <w:r>
        <w:t xml:space="preserve"> </w:t>
      </w:r>
      <w:r>
        <w:t xml:space="preserve">anti-fibrotic scaffold with predicted IPF applicability. Topical</w:t>
      </w:r>
      <w:r>
        <w:t xml:space="preserve"> </w:t>
      </w:r>
      <w:r>
        <w:t xml:space="preserve">(skin scar) and systemic (IPF, scleroderma) clinical paths are both viable.</w:t>
      </w:r>
    </w:p>
    <w:p>
      <w:pPr>
        <w:pStyle w:val="BodyText"/>
      </w:pPr>
      <w:r>
        <w:rPr>
          <w:b/>
          <w:bCs/>
        </w:rPr>
        <w:t xml:space="preserve">Code &amp; data:</w:t>
      </w:r>
      <w:r>
        <w:t xml:space="preserve"> </w:t>
      </w:r>
      <w:r>
        <w:t xml:space="preserve">Pipeline available at https://github.com/crazat/genesis_medicine.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skin scar to systemic anti-fibrosis: scaffold-hop derivative of Embelin (EMB-3) modulates the master fibrotic switch network with predicted applicability to idiopathic pulmonary fibrosis</dc:title>
  <dc:creator/>
  <cp:keywords/>
  <dcterms:created xsi:type="dcterms:W3CDTF">2026-04-25T13:24:24Z</dcterms:created>
  <dcterms:modified xsi:type="dcterms:W3CDTF">2026-04-25T13:24:24Z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graphy">
    <vt:lpwstr>references.bib</vt:lpwstr>
  </property>
  <property fmtid="{D5CDD505-2E9C-101B-9397-08002B2CF9AE}" pid="4" name="correspondence">
    <vt:lpwstr>research@recover-clinic.kr</vt:lpwstr>
  </property>
  <property fmtid="{D5CDD505-2E9C-101B-9397-08002B2CF9AE}" pid="5" name="csl">
    <vt:lpwstr>journal-of-cheminformatics.csl</vt:lpwstr>
  </property>
  <property fmtid="{D5CDD505-2E9C-101B-9397-08002B2CF9AE}" pid="6" name="date">
    <vt:lpwstr>2026-04-25</vt:lpwstr>
  </property>
  <property fmtid="{D5CDD505-2E9C-101B-9397-08002B2CF9AE}" pid="7" name="running-title">
    <vt:lpwstr>EMB-3 multi-tier anti-fibrotic</vt:lpwstr>
  </property>
</Properties>
</file>