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B075" w14:textId="77777777" w:rsidR="007F3CF8" w:rsidRDefault="00000000">
      <w:pPr>
        <w:spacing w:after="120"/>
        <w:jc w:val="center"/>
      </w:pPr>
      <w:r>
        <w:rPr>
          <w:b/>
          <w:bCs/>
          <w:sz w:val="28"/>
          <w:szCs w:val="28"/>
        </w:rPr>
        <w:t>A Decentralized Pharmaceutical Supply Chain Tracking System Using Blockchain and ERC-721 Non-Fungible Tokens</w:t>
      </w:r>
    </w:p>
    <w:p w14:paraId="469226E2" w14:textId="77777777" w:rsidR="007F3CF8" w:rsidRDefault="00000000">
      <w:pPr>
        <w:spacing w:after="60"/>
        <w:jc w:val="center"/>
      </w:pPr>
      <w:r>
        <w:rPr>
          <w:i/>
          <w:iCs/>
          <w:sz w:val="22"/>
          <w:szCs w:val="22"/>
        </w:rPr>
        <w:t>[Author names withheld for review]</w:t>
      </w:r>
    </w:p>
    <w:p w14:paraId="6FEA96A6" w14:textId="77777777" w:rsidR="007F3CF8" w:rsidRDefault="00000000">
      <w:pPr>
        <w:spacing w:after="60"/>
        <w:jc w:val="center"/>
      </w:pPr>
      <w:r>
        <w:rPr>
          <w:i/>
          <w:iCs/>
          <w:sz w:val="22"/>
          <w:szCs w:val="22"/>
        </w:rPr>
        <w:t>[Institution withheld for review]</w:t>
      </w:r>
    </w:p>
    <w:p w14:paraId="15A24363" w14:textId="77777777" w:rsidR="007F3CF8" w:rsidRDefault="00000000">
      <w:pPr>
        <w:spacing w:after="200"/>
        <w:jc w:val="center"/>
      </w:pPr>
      <w:r>
        <w:rPr>
          <w:i/>
          <w:iCs/>
          <w:sz w:val="22"/>
          <w:szCs w:val="22"/>
        </w:rPr>
        <w:t>[Email withheld for review]</w:t>
      </w:r>
    </w:p>
    <w:p w14:paraId="0CFFE1CB" w14:textId="77777777" w:rsidR="007F3CF8" w:rsidRDefault="00000000">
      <w:pPr>
        <w:spacing w:after="60"/>
        <w:jc w:val="center"/>
      </w:pPr>
      <w:r>
        <w:rPr>
          <w:b/>
          <w:bCs/>
          <w:i/>
          <w:iCs/>
        </w:rPr>
        <w:t>Abstract</w:t>
      </w:r>
    </w:p>
    <w:p w14:paraId="4F85DE65" w14:textId="77777777" w:rsidR="007F3CF8" w:rsidRDefault="00000000">
      <w:pPr>
        <w:spacing w:after="60"/>
        <w:jc w:val="both"/>
      </w:pPr>
      <w:r>
        <w:rPr>
          <w:b/>
          <w:bCs/>
        </w:rPr>
        <w:t>Abstract—</w:t>
      </w:r>
      <w:r>
        <w:t>Counterfeit and substandard pharmaceuticals represent a critical public health hazard, costing the global economy an estimated $200 billion annually and causing preventable fatalities. Conventional supply chain systems fail to provide the immutable provenance records necessary to detect falsified products across multi-tier distribution networks. This paper proposes and implements a decentralized pharmaceutical supply chain tracking system built on the Ethereum blockchain, in which each drug batch is represented as an ERC-721 non-fungible token (NFT). Every custody transfer—from manufacturer to distributor to retailer—is recorded as an on-chain transaction, creating a cryptographically secure, tamper-evident audit trail. A hybrid architecture that combines on-chain ledger operations with an off-chain Node.js/MongoDB data layer ensures real-time user-interface responsiveness without incurring prohibitive gas costs for metadata storage. Role-based access control (RBAC), enforced through Solidity smart-contract modifiers and a JSON Web Token (JWT) authentication layer, restricts minting to authorized manufacturers and transfers to verified token owners. Socket.io event broadcasting delivers live chain-state updates to role-specific React dashboards used by manufacturers, distributors, and retailers. A QR-code scan mechanism allows consumers and regulators to verify a product's complete provenance history without requiring blockchain credentials. We present the system architecture, smart-contract design, security analysis, and a comparative discussion against recent literature. The proposed solution demonstrates that NFT-based tokenization, when coupled with hybrid on/off-chain storage, provides a practical, auditable, and extensible reference architecture for pharmaceutical supply chain integrity.</w:t>
      </w:r>
    </w:p>
    <w:p w14:paraId="5DB1A4A0" w14:textId="77777777" w:rsidR="007F3CF8" w:rsidRDefault="00000000">
      <w:pPr>
        <w:spacing w:after="120"/>
        <w:jc w:val="both"/>
      </w:pPr>
      <w:r>
        <w:rPr>
          <w:b/>
          <w:bCs/>
        </w:rPr>
        <w:t>Index Terms—</w:t>
      </w:r>
      <w:r>
        <w:t>Blockchain, ERC-721, non-fungible tokens, pharmaceutical supply chain, smart contracts, counterfeit drugs, traceability, role-based access control, Ethereum, hybrid architecture.</w:t>
      </w:r>
    </w:p>
    <w:p w14:paraId="03058976" w14:textId="77777777" w:rsidR="007F3CF8" w:rsidRDefault="00000000">
      <w:pPr>
        <w:spacing w:before="160" w:after="80"/>
        <w:jc w:val="center"/>
      </w:pPr>
      <w:r>
        <w:rPr>
          <w:b/>
          <w:bCs/>
          <w:smallCaps/>
          <w:sz w:val="22"/>
          <w:szCs w:val="22"/>
        </w:rPr>
        <w:t>I. INTRODUCTION</w:t>
      </w:r>
    </w:p>
    <w:p w14:paraId="06772699" w14:textId="77777777" w:rsidR="007F3CF8" w:rsidRDefault="00000000">
      <w:pPr>
        <w:spacing w:after="80"/>
        <w:jc w:val="both"/>
      </w:pPr>
      <w:r>
        <w:t>The global pharmaceutical supply chain is a multi-billion-dollar network spanning raw-material suppliers, manufacturers, primary and secondary distributors, pharmacies, and hospitals. Its inherent complexity—crossing organizational and geographical boundaries—creates numerous points at which falsified, substandard, or diverted medicines can infiltrate legitimate channels [1]. The World Health Organization (WHO) estimates that up to 10% of medicines circulating in low- and middle-income countries are counterfeit, causing hundreds of thousands of deaths annually [2]. Even in regulated markets such as the United States, the enactment of the Drug Supply Chain Security Act (DSCSA) in 2013 underscores persistent traceability gaps that legacy barcode and RFID systems have failed to close [30].</w:t>
      </w:r>
    </w:p>
    <w:p w14:paraId="24106DF0" w14:textId="77777777" w:rsidR="007F3CF8" w:rsidRDefault="00000000">
      <w:pPr>
        <w:spacing w:after="80"/>
        <w:jc w:val="both"/>
      </w:pPr>
      <w:r>
        <w:t>Traditional track-and-trace solutions rely on centralized databases, which introduce single points of failure, expose data to tampering by privileged insiders, and provide no cryptographic proof of integrity to downstream stakeholders [3]. Blockchain technology—a distributed, append-only ledger secured by cryptographic hashing and consensus mechanisms—has attracted significant research attention as a structural remedy to these limitations [2], [9]. By removing the need for a trusted central authority, blockchain enables any party holding the appropriate cryptographic credentials to verify a product's provenance history without relying on the claims of any single organization [12].</w:t>
      </w:r>
    </w:p>
    <w:p w14:paraId="25565D0E" w14:textId="77777777" w:rsidR="007F3CF8" w:rsidRDefault="00000000">
      <w:pPr>
        <w:spacing w:after="80"/>
        <w:jc w:val="both"/>
      </w:pPr>
      <w:r>
        <w:t xml:space="preserve">Within the blockchain ecosystem, the ERC-721 non-fungible token (NFT) standard provides a compelling abstraction for physical goods: each token is unique, indivisible, and carries an ownership record enforced at the protocol level [8]. Applied to pharmaceuticals, minting one NFT per drug batch establishes an unforgeable digital twin of that batch; transferring the token </w:t>
      </w:r>
      <w:proofErr w:type="gramStart"/>
      <w:r>
        <w:t>on-chain</w:t>
      </w:r>
      <w:proofErr w:type="gramEnd"/>
      <w:r>
        <w:t xml:space="preserve"> when custody changes hands </w:t>
      </w:r>
      <w:proofErr w:type="gramStart"/>
      <w:r>
        <w:t>produces</w:t>
      </w:r>
      <w:proofErr w:type="gramEnd"/>
      <w:r>
        <w:t xml:space="preserve"> an immutable, timestamped provenance chain that mirrors the physical supply chain [14], [16]. This approach extends earlier tokenization experiments in food-supply traceability [7] and healthcare record management [28] to the pharmaceutical domain.</w:t>
      </w:r>
    </w:p>
    <w:p w14:paraId="7D3CBA9C" w14:textId="77777777" w:rsidR="007F3CF8" w:rsidRDefault="00000000">
      <w:pPr>
        <w:spacing w:after="80"/>
        <w:jc w:val="both"/>
      </w:pPr>
      <w:r>
        <w:t xml:space="preserve">Despite the promise of full on-chain architectures, practical deployments face performance and cost constraints: storing rich metadata (product images, batch certificates, environmental sensor readings) entirely on-chain incurs prohibitive gas fees and increases transaction latency [16]. Hybrid architectures—where the blockchain stores only cryptographic commitments while a conventional database holds </w:t>
      </w:r>
      <w:proofErr w:type="spellStart"/>
      <w:r>
        <w:t>queryable</w:t>
      </w:r>
      <w:proofErr w:type="spellEnd"/>
      <w:r>
        <w:t xml:space="preserve"> off-chain metadata—offer a pragmatic balance between security and usability [8], [20].</w:t>
      </w:r>
    </w:p>
    <w:p w14:paraId="1DCFF709" w14:textId="77777777" w:rsidR="007F3CF8" w:rsidRDefault="00000000">
      <w:pPr>
        <w:spacing w:after="80"/>
        <w:jc w:val="both"/>
      </w:pPr>
      <w:r>
        <w:t>This paper makes the following contributions:</w:t>
      </w:r>
    </w:p>
    <w:p w14:paraId="4E44D5FB" w14:textId="77777777" w:rsidR="007F3CF8" w:rsidRDefault="00000000">
      <w:pPr>
        <w:numPr>
          <w:ilvl w:val="0"/>
          <w:numId w:val="1"/>
        </w:numPr>
        <w:pBdr>
          <w:top w:val="nil"/>
          <w:left w:val="nil"/>
          <w:bottom w:val="nil"/>
          <w:right w:val="nil"/>
          <w:between w:val="nil"/>
        </w:pBdr>
        <w:spacing w:after="60"/>
        <w:jc w:val="both"/>
      </w:pPr>
      <w:r>
        <w:rPr>
          <w:color w:val="000000"/>
        </w:rPr>
        <w:t>A complete open-source reference implementation of a decentralized pharmaceutical supply chain system using Ethereum ERC-721 smart contracts, a Node.js/Express backend, and a React frontend.</w:t>
      </w:r>
    </w:p>
    <w:p w14:paraId="41D1E37D" w14:textId="77777777" w:rsidR="007F3CF8" w:rsidRDefault="00000000">
      <w:pPr>
        <w:numPr>
          <w:ilvl w:val="0"/>
          <w:numId w:val="1"/>
        </w:numPr>
        <w:pBdr>
          <w:top w:val="nil"/>
          <w:left w:val="nil"/>
          <w:bottom w:val="nil"/>
          <w:right w:val="nil"/>
          <w:between w:val="nil"/>
        </w:pBdr>
        <w:spacing w:after="60"/>
        <w:jc w:val="both"/>
      </w:pPr>
      <w:r>
        <w:rPr>
          <w:color w:val="000000"/>
        </w:rPr>
        <w:lastRenderedPageBreak/>
        <w:t>A hybrid on/off-chain architecture that separates immutable provenance records (on-chain) from rich product metadata (off-chain MongoDB), preserving security while enabling real-time UI responsiveness via Socket.io.</w:t>
      </w:r>
    </w:p>
    <w:p w14:paraId="2C10FC11" w14:textId="77777777" w:rsidR="007F3CF8" w:rsidRDefault="00000000">
      <w:pPr>
        <w:numPr>
          <w:ilvl w:val="0"/>
          <w:numId w:val="1"/>
        </w:numPr>
        <w:pBdr>
          <w:top w:val="nil"/>
          <w:left w:val="nil"/>
          <w:bottom w:val="nil"/>
          <w:right w:val="nil"/>
          <w:between w:val="nil"/>
        </w:pBdr>
        <w:spacing w:after="60"/>
        <w:jc w:val="both"/>
      </w:pPr>
      <w:r>
        <w:rPr>
          <w:color w:val="000000"/>
        </w:rPr>
        <w:t xml:space="preserve">A multi-layer RBAC model enforced both at the Solidity smart-contract level (via modifiers) and at the application tier (via JWT-based middleware), demonstrating </w:t>
      </w:r>
      <w:proofErr w:type="spellStart"/>
      <w:r>
        <w:rPr>
          <w:color w:val="000000"/>
        </w:rPr>
        <w:t>defense</w:t>
      </w:r>
      <w:proofErr w:type="spellEnd"/>
      <w:r>
        <w:rPr>
          <w:color w:val="000000"/>
        </w:rPr>
        <w:t>-in-depth for pharmaceutical traceability.</w:t>
      </w:r>
    </w:p>
    <w:p w14:paraId="22A2E0DC" w14:textId="77777777" w:rsidR="007F3CF8" w:rsidRDefault="00000000">
      <w:pPr>
        <w:numPr>
          <w:ilvl w:val="0"/>
          <w:numId w:val="1"/>
        </w:numPr>
        <w:pBdr>
          <w:top w:val="nil"/>
          <w:left w:val="nil"/>
          <w:bottom w:val="nil"/>
          <w:right w:val="nil"/>
          <w:between w:val="nil"/>
        </w:pBdr>
        <w:spacing w:after="60"/>
        <w:jc w:val="both"/>
      </w:pPr>
      <w:r>
        <w:rPr>
          <w:color w:val="000000"/>
        </w:rPr>
        <w:t>A structured security and performance analysis benchmarked against contemporaneous literature, identifying trade-offs and pathways to production readiness.</w:t>
      </w:r>
    </w:p>
    <w:p w14:paraId="5D9912BD" w14:textId="77777777" w:rsidR="007F3CF8" w:rsidRDefault="00000000">
      <w:pPr>
        <w:spacing w:after="80"/>
        <w:jc w:val="both"/>
      </w:pPr>
      <w:r>
        <w:t>The remainder of this paper is organized as follows. Section II reviews related work. Section III presents the overall system architecture. Section IV details the smart-contract design. Section V describes the backend and frontend implementation. Section VI provides a security analysis. Section VII discusses performance and limitations. Section VIII concludes the paper.</w:t>
      </w:r>
    </w:p>
    <w:p w14:paraId="5470CD0D" w14:textId="77777777" w:rsidR="007F3CF8" w:rsidRDefault="00000000">
      <w:pPr>
        <w:spacing w:before="160" w:after="80"/>
        <w:jc w:val="center"/>
      </w:pPr>
      <w:r>
        <w:rPr>
          <w:b/>
          <w:bCs/>
          <w:smallCaps/>
          <w:sz w:val="22"/>
          <w:szCs w:val="22"/>
        </w:rPr>
        <w:t>II. RELATED WORK</w:t>
      </w:r>
    </w:p>
    <w:p w14:paraId="06775740" w14:textId="77777777" w:rsidR="007F3CF8" w:rsidRDefault="00000000">
      <w:pPr>
        <w:spacing w:before="120" w:after="60"/>
      </w:pPr>
      <w:r>
        <w:rPr>
          <w:b/>
          <w:bCs/>
          <w:i/>
          <w:iCs/>
        </w:rPr>
        <w:t>A. Blockchain in Healthcare</w:t>
      </w:r>
    </w:p>
    <w:p w14:paraId="2B5AD877" w14:textId="77777777" w:rsidR="007F3CF8" w:rsidRDefault="00000000">
      <w:pPr>
        <w:spacing w:after="80"/>
        <w:jc w:val="both"/>
      </w:pPr>
      <w:r>
        <w:t>The application of blockchain to healthcare has been extensively reviewed in the literature. Agbo et al. [2] conducted a systematic review covering 37 primary studies and categorized blockchain healthcare applications into health data management, remote patient monitoring, pharmaceutical supply chains, health claims, and biomedical research. The authors identified data privacy, interoperability, and regulatory compliance as recurrent challenges. A broader scoping review by Hasselgren et al. [19] similarly found that most blockchain healthcare prototypes remain at proof-of-concept stage, highlighting the gap between theoretical proposals and production-ready systems. Malik et al. [18] reviewed 51 peer-reviewed articles from nine major databases (including IEEE Xplore, Scopus, and MEDLINE) and concluded that while blockchain offers promising guarantees of immutability and transparency, scalability and energy consumption remain open issues.</w:t>
      </w:r>
    </w:p>
    <w:p w14:paraId="572F1922" w14:textId="77777777" w:rsidR="007F3CF8" w:rsidRDefault="00000000">
      <w:pPr>
        <w:spacing w:after="80"/>
        <w:jc w:val="both"/>
      </w:pPr>
      <w:r>
        <w:t xml:space="preserve">Casino et al. [3] performed a comprehensive bibliometric and content analysis of blockchain applications across multiple sectors, identifying healthcare supply chain traceability as one of the highest-impact use cases. Their taxonomy, built on 203 primary studies, has become a widely cited reference for classifying blockchain deployment patterns. Tanwar et al. [20] proposed a blockchain-based electronic healthcare record system designed for </w:t>
      </w:r>
      <w:proofErr w:type="gramStart"/>
      <w:r>
        <w:t>Healthcare</w:t>
      </w:r>
      <w:proofErr w:type="gramEnd"/>
      <w:r>
        <w:t xml:space="preserve"> 4.0, demonstrating that hybrid on/off-chain storage reduces query latency by up to 60% compared to fully on-chain approaches.</w:t>
      </w:r>
    </w:p>
    <w:p w14:paraId="44E40744" w14:textId="77777777" w:rsidR="007F3CF8" w:rsidRDefault="00000000">
      <w:pPr>
        <w:spacing w:before="120" w:after="60"/>
      </w:pPr>
      <w:r>
        <w:rPr>
          <w:b/>
          <w:bCs/>
          <w:i/>
          <w:iCs/>
        </w:rPr>
        <w:t>B. Pharmaceutical Supply Chain Traceability</w:t>
      </w:r>
    </w:p>
    <w:p w14:paraId="7AF79457" w14:textId="77777777" w:rsidR="007F3CF8" w:rsidRDefault="00000000">
      <w:pPr>
        <w:spacing w:after="80"/>
        <w:jc w:val="both"/>
      </w:pPr>
      <w:r>
        <w:t xml:space="preserve">The pharmaceutical domain has attracted focused blockchain research. Sylim et al. [29] implemented a proof-of-concept for detecting falsified medicines using QR codes anchored to blockchain records, reporting 100% detection accuracy for tampered entries in their experimental dataset. </w:t>
      </w:r>
      <w:proofErr w:type="spellStart"/>
      <w:r>
        <w:t>Musamih</w:t>
      </w:r>
      <w:proofErr w:type="spellEnd"/>
      <w:r>
        <w:t xml:space="preserve"> et al. [8] proposed an Ethereum-based drug traceability system using smart contracts and decentralized off-chain storage, presenting a detailed security and cost analysis. Their architecture shares structural similarities with the present work, though they do not employ the NFT standard for batch tokenization. Bandhu et al. [16] implemented a comparable Ethereum smart-contract system and demonstrated end-to-end tracking across a simulated supply chain with measurable gas cost profiles.</w:t>
      </w:r>
    </w:p>
    <w:p w14:paraId="0702C93E" w14:textId="77777777" w:rsidR="007F3CF8" w:rsidRDefault="00000000">
      <w:pPr>
        <w:spacing w:after="80"/>
        <w:jc w:val="both"/>
      </w:pPr>
      <w:proofErr w:type="spellStart"/>
      <w:r>
        <w:t>Gomasta</w:t>
      </w:r>
      <w:proofErr w:type="spellEnd"/>
      <w:r>
        <w:t xml:space="preserve"> et al. [14] introduced </w:t>
      </w:r>
      <w:proofErr w:type="spellStart"/>
      <w:r>
        <w:t>PharmaChain</w:t>
      </w:r>
      <w:proofErr w:type="spellEnd"/>
      <w:r>
        <w:t xml:space="preserve">, a Hyperledger Fabric framework that provides on-chain provenance logging combined with off-chain confidentiality for sensitive batch data. Nanda et al. [17] integrated IoT sensors with blockchain to monitor cold-chain environmental conditions alongside custody transfers, extending the traceability scope beyond mere ownership records. Clauson et al. [21] </w:t>
      </w:r>
      <w:proofErr w:type="spellStart"/>
      <w:r>
        <w:t>analyzed</w:t>
      </w:r>
      <w:proofErr w:type="spellEnd"/>
      <w:r>
        <w:t xml:space="preserve"> regulatory and interoperability challenges for blockchain-based pharmaceutical supply chains in the United States context, emphasizing DSCSA compliance requirements [30].</w:t>
      </w:r>
    </w:p>
    <w:p w14:paraId="10EEF7EA" w14:textId="77777777" w:rsidR="007F3CF8" w:rsidRDefault="00000000">
      <w:pPr>
        <w:spacing w:before="120" w:after="60"/>
      </w:pPr>
      <w:r>
        <w:rPr>
          <w:b/>
          <w:bCs/>
          <w:i/>
          <w:iCs/>
        </w:rPr>
        <w:t>C. NFT-Based Tokenization for Physical Assets</w:t>
      </w:r>
    </w:p>
    <w:p w14:paraId="3AA97BD0" w14:textId="77777777" w:rsidR="007F3CF8" w:rsidRDefault="00000000">
      <w:pPr>
        <w:spacing w:after="80"/>
        <w:jc w:val="both"/>
      </w:pPr>
      <w:r>
        <w:t xml:space="preserve">The application of ERC-721 NFTs to physical asset tracking is an emerging research direction. Azaria et al. [28] pioneered token-based health data </w:t>
      </w:r>
      <w:proofErr w:type="spellStart"/>
      <w:r>
        <w:t>permissioning</w:t>
      </w:r>
      <w:proofErr w:type="spellEnd"/>
      <w:r>
        <w:t xml:space="preserve"> with </w:t>
      </w:r>
      <w:proofErr w:type="spellStart"/>
      <w:r>
        <w:t>MedRec</w:t>
      </w:r>
      <w:proofErr w:type="spellEnd"/>
      <w:r>
        <w:t xml:space="preserve">, establishing the conceptual basis for representing unique health records as blockchain tokens. In the pharmaceutical context, the </w:t>
      </w:r>
      <w:proofErr w:type="spellStart"/>
      <w:r>
        <w:t>TokenPharma</w:t>
      </w:r>
      <w:proofErr w:type="spellEnd"/>
      <w:r>
        <w:t xml:space="preserve"> system (surveyed in [8]) used ERC-721 tokens for pharmaceutical assets and reported throughput exceeding 200 transactions per second for token transfer operations. </w:t>
      </w:r>
      <w:proofErr w:type="spellStart"/>
      <w:r>
        <w:t>Dasaklis</w:t>
      </w:r>
      <w:proofErr w:type="spellEnd"/>
      <w:r>
        <w:t xml:space="preserve"> et al. [27] explored smart health systems leveraging blockchain and identified NFT-like unique token schemes as a promising direction for anti-counterfeiting.</w:t>
      </w:r>
    </w:p>
    <w:p w14:paraId="12FFB00F" w14:textId="77777777" w:rsidR="007F3CF8" w:rsidRDefault="00000000">
      <w:pPr>
        <w:spacing w:after="80"/>
        <w:jc w:val="both"/>
      </w:pPr>
      <w:r>
        <w:t>Abu-</w:t>
      </w:r>
      <w:proofErr w:type="spellStart"/>
      <w:r>
        <w:t>elezz</w:t>
      </w:r>
      <w:proofErr w:type="spellEnd"/>
      <w:r>
        <w:t xml:space="preserve"> et al. [22] identified ownership transfer logging—central to NFT mechanics—as one of blockchain's strongest healthcare benefits, reducing disputed provenance claims in clinical supply chains. </w:t>
      </w:r>
      <w:proofErr w:type="spellStart"/>
      <w:r>
        <w:t>Viriyasitavat</w:t>
      </w:r>
      <w:proofErr w:type="spellEnd"/>
      <w:r>
        <w:t xml:space="preserve"> et al. [23] examined the convergence of IoT and blockchain for business process automation and noted that token standards such as ERC-721 provide a natural bridge between digital and physical asset management. The present work synthesizes these threads by applying ERC-721 tokenization directly to pharmaceutical batch tracking, combining it with a practical hybrid architecture and multi-role access control.</w:t>
      </w:r>
    </w:p>
    <w:p w14:paraId="7611EC96" w14:textId="77777777" w:rsidR="007F3CF8" w:rsidRDefault="00000000">
      <w:pPr>
        <w:spacing w:before="120" w:after="60"/>
      </w:pPr>
      <w:r>
        <w:rPr>
          <w:b/>
          <w:bCs/>
          <w:i/>
          <w:iCs/>
        </w:rPr>
        <w:t>D. Positioning Against Existing Literature</w:t>
      </w:r>
    </w:p>
    <w:p w14:paraId="28AE3F17" w14:textId="77777777" w:rsidR="007F3CF8" w:rsidRDefault="00000000">
      <w:pPr>
        <w:spacing w:after="80"/>
        <w:jc w:val="both"/>
      </w:pPr>
      <w:r>
        <w:t xml:space="preserve">Table I summarizes key related systems and highlights the distinguishing features of the proposed system. While prior systems use proprietary token schemes, permissioned ledgers (e.g., Hyperledger Fabric), or fully centralized backends, the proposed </w:t>
      </w:r>
      <w:r>
        <w:lastRenderedPageBreak/>
        <w:t>architecture employs open ERC-721 standards on a public-compatible Ethereum environment with a purpose-built hybrid storage layer and Socket.io real-time propagation. This positions the system as a practical, standards-compliant reference architecture suitable for adaptation to permissioned enterprise networks.</w:t>
      </w:r>
    </w:p>
    <w:p w14:paraId="3FB70DED" w14:textId="77777777" w:rsidR="007F3CF8" w:rsidRDefault="00000000">
      <w:pPr>
        <w:spacing w:before="120" w:after="60"/>
        <w:jc w:val="center"/>
      </w:pPr>
      <w:r>
        <w:rPr>
          <w:b/>
          <w:bCs/>
          <w:smallCaps/>
        </w:rPr>
        <w:t>TABLE I</w:t>
      </w:r>
    </w:p>
    <w:p w14:paraId="6C9E1C41" w14:textId="77777777" w:rsidR="007F3CF8" w:rsidRDefault="00000000">
      <w:pPr>
        <w:spacing w:after="120"/>
        <w:jc w:val="center"/>
      </w:pPr>
      <w:r>
        <w:rPr>
          <w:b/>
          <w:bCs/>
          <w:i/>
          <w:iCs/>
        </w:rPr>
        <w:t>Comparison of Blockchain-Based Pharmaceutical Supply Chain Systems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560"/>
        <w:gridCol w:w="1500"/>
        <w:gridCol w:w="1500"/>
        <w:gridCol w:w="1500"/>
      </w:tblGrid>
      <w:tr w:rsidR="007F3CF8" w14:paraId="0DBB578B" w14:textId="77777777">
        <w:trPr>
          <w:tblHeader/>
        </w:trPr>
        <w:tc>
          <w:tcPr>
            <w:tcW w:w="1800" w:type="dxa"/>
            <w:shd w:val="clear" w:color="auto" w:fill="CCCCCC"/>
            <w:tcMar>
              <w:top w:w="60" w:type="dxa"/>
              <w:left w:w="80" w:type="dxa"/>
              <w:bottom w:w="60" w:type="dxa"/>
              <w:right w:w="80" w:type="dxa"/>
            </w:tcMar>
          </w:tcPr>
          <w:p w14:paraId="08AEDDAE" w14:textId="77777777" w:rsidR="007F3CF8" w:rsidRDefault="00000000">
            <w:pPr>
              <w:jc w:val="center"/>
            </w:pPr>
            <w:r>
              <w:rPr>
                <w:b/>
                <w:bCs/>
                <w:sz w:val="18"/>
                <w:szCs w:val="18"/>
              </w:rPr>
              <w:t>System</w:t>
            </w:r>
          </w:p>
        </w:tc>
        <w:tc>
          <w:tcPr>
            <w:tcW w:w="1500" w:type="dxa"/>
            <w:shd w:val="clear" w:color="auto" w:fill="CCCCCC"/>
            <w:tcMar>
              <w:top w:w="60" w:type="dxa"/>
              <w:left w:w="80" w:type="dxa"/>
              <w:bottom w:w="60" w:type="dxa"/>
              <w:right w:w="80" w:type="dxa"/>
            </w:tcMar>
          </w:tcPr>
          <w:p w14:paraId="377B1DA0" w14:textId="77777777" w:rsidR="007F3CF8" w:rsidRDefault="00000000">
            <w:pPr>
              <w:jc w:val="center"/>
            </w:pPr>
            <w:r>
              <w:rPr>
                <w:b/>
                <w:bCs/>
                <w:sz w:val="18"/>
                <w:szCs w:val="18"/>
              </w:rPr>
              <w:t>Ledger</w:t>
            </w:r>
          </w:p>
        </w:tc>
        <w:tc>
          <w:tcPr>
            <w:tcW w:w="1560" w:type="dxa"/>
            <w:shd w:val="clear" w:color="auto" w:fill="CCCCCC"/>
            <w:tcMar>
              <w:top w:w="60" w:type="dxa"/>
              <w:left w:w="80" w:type="dxa"/>
              <w:bottom w:w="60" w:type="dxa"/>
              <w:right w:w="80" w:type="dxa"/>
            </w:tcMar>
          </w:tcPr>
          <w:p w14:paraId="092C4C8F" w14:textId="77777777" w:rsidR="007F3CF8" w:rsidRDefault="00000000">
            <w:pPr>
              <w:jc w:val="center"/>
            </w:pPr>
            <w:r>
              <w:rPr>
                <w:b/>
                <w:bCs/>
                <w:sz w:val="18"/>
                <w:szCs w:val="18"/>
              </w:rPr>
              <w:t>Token Standard</w:t>
            </w:r>
          </w:p>
        </w:tc>
        <w:tc>
          <w:tcPr>
            <w:tcW w:w="1500" w:type="dxa"/>
            <w:shd w:val="clear" w:color="auto" w:fill="CCCCCC"/>
            <w:tcMar>
              <w:top w:w="60" w:type="dxa"/>
              <w:left w:w="80" w:type="dxa"/>
              <w:bottom w:w="60" w:type="dxa"/>
              <w:right w:w="80" w:type="dxa"/>
            </w:tcMar>
          </w:tcPr>
          <w:p w14:paraId="0381BDBB" w14:textId="77777777" w:rsidR="007F3CF8" w:rsidRDefault="00000000">
            <w:pPr>
              <w:jc w:val="center"/>
            </w:pPr>
            <w:r>
              <w:rPr>
                <w:b/>
                <w:bCs/>
                <w:sz w:val="18"/>
                <w:szCs w:val="18"/>
              </w:rPr>
              <w:t>Off-chain DB</w:t>
            </w:r>
          </w:p>
        </w:tc>
        <w:tc>
          <w:tcPr>
            <w:tcW w:w="1500" w:type="dxa"/>
            <w:shd w:val="clear" w:color="auto" w:fill="CCCCCC"/>
            <w:tcMar>
              <w:top w:w="60" w:type="dxa"/>
              <w:left w:w="80" w:type="dxa"/>
              <w:bottom w:w="60" w:type="dxa"/>
              <w:right w:w="80" w:type="dxa"/>
            </w:tcMar>
          </w:tcPr>
          <w:p w14:paraId="23584FC1" w14:textId="77777777" w:rsidR="007F3CF8" w:rsidRDefault="00000000">
            <w:pPr>
              <w:jc w:val="center"/>
            </w:pPr>
            <w:r>
              <w:rPr>
                <w:b/>
                <w:bCs/>
                <w:sz w:val="18"/>
                <w:szCs w:val="18"/>
              </w:rPr>
              <w:t>Real-time UI</w:t>
            </w:r>
          </w:p>
        </w:tc>
        <w:tc>
          <w:tcPr>
            <w:tcW w:w="1500" w:type="dxa"/>
            <w:shd w:val="clear" w:color="auto" w:fill="CCCCCC"/>
            <w:tcMar>
              <w:top w:w="60" w:type="dxa"/>
              <w:left w:w="80" w:type="dxa"/>
              <w:bottom w:w="60" w:type="dxa"/>
              <w:right w:w="80" w:type="dxa"/>
            </w:tcMar>
          </w:tcPr>
          <w:p w14:paraId="0DF86806" w14:textId="77777777" w:rsidR="007F3CF8" w:rsidRDefault="00000000">
            <w:pPr>
              <w:jc w:val="center"/>
            </w:pPr>
            <w:r>
              <w:rPr>
                <w:b/>
                <w:bCs/>
                <w:sz w:val="18"/>
                <w:szCs w:val="18"/>
              </w:rPr>
              <w:t>RBAC</w:t>
            </w:r>
          </w:p>
        </w:tc>
      </w:tr>
      <w:tr w:rsidR="007F3CF8" w14:paraId="777A27C5" w14:textId="77777777">
        <w:tc>
          <w:tcPr>
            <w:tcW w:w="1800" w:type="dxa"/>
            <w:tcMar>
              <w:top w:w="60" w:type="dxa"/>
              <w:left w:w="80" w:type="dxa"/>
              <w:bottom w:w="60" w:type="dxa"/>
              <w:right w:w="80" w:type="dxa"/>
            </w:tcMar>
          </w:tcPr>
          <w:p w14:paraId="671A2D29" w14:textId="77777777" w:rsidR="007F3CF8" w:rsidRDefault="00000000">
            <w:pPr>
              <w:jc w:val="center"/>
            </w:pPr>
            <w:proofErr w:type="spellStart"/>
            <w:r>
              <w:rPr>
                <w:sz w:val="18"/>
                <w:szCs w:val="18"/>
              </w:rPr>
              <w:t>PharmaChain</w:t>
            </w:r>
            <w:proofErr w:type="spellEnd"/>
            <w:r>
              <w:rPr>
                <w:sz w:val="18"/>
                <w:szCs w:val="18"/>
              </w:rPr>
              <w:t xml:space="preserve"> [14]</w:t>
            </w:r>
          </w:p>
        </w:tc>
        <w:tc>
          <w:tcPr>
            <w:tcW w:w="1500" w:type="dxa"/>
            <w:tcMar>
              <w:top w:w="60" w:type="dxa"/>
              <w:left w:w="80" w:type="dxa"/>
              <w:bottom w:w="60" w:type="dxa"/>
              <w:right w:w="80" w:type="dxa"/>
            </w:tcMar>
          </w:tcPr>
          <w:p w14:paraId="72436A8A" w14:textId="77777777" w:rsidR="007F3CF8" w:rsidRDefault="00000000">
            <w:pPr>
              <w:jc w:val="center"/>
            </w:pPr>
            <w:r>
              <w:rPr>
                <w:sz w:val="18"/>
                <w:szCs w:val="18"/>
              </w:rPr>
              <w:t>Hyperledger</w:t>
            </w:r>
          </w:p>
        </w:tc>
        <w:tc>
          <w:tcPr>
            <w:tcW w:w="1560" w:type="dxa"/>
            <w:tcMar>
              <w:top w:w="60" w:type="dxa"/>
              <w:left w:w="80" w:type="dxa"/>
              <w:bottom w:w="60" w:type="dxa"/>
              <w:right w:w="80" w:type="dxa"/>
            </w:tcMar>
          </w:tcPr>
          <w:p w14:paraId="1F5B1883" w14:textId="77777777" w:rsidR="007F3CF8" w:rsidRDefault="00000000">
            <w:pPr>
              <w:jc w:val="center"/>
            </w:pPr>
            <w:r>
              <w:rPr>
                <w:sz w:val="18"/>
                <w:szCs w:val="18"/>
              </w:rPr>
              <w:t>Custom</w:t>
            </w:r>
          </w:p>
        </w:tc>
        <w:tc>
          <w:tcPr>
            <w:tcW w:w="1500" w:type="dxa"/>
            <w:tcMar>
              <w:top w:w="60" w:type="dxa"/>
              <w:left w:w="80" w:type="dxa"/>
              <w:bottom w:w="60" w:type="dxa"/>
              <w:right w:w="80" w:type="dxa"/>
            </w:tcMar>
          </w:tcPr>
          <w:p w14:paraId="04C80E1E" w14:textId="77777777" w:rsidR="007F3CF8" w:rsidRDefault="00000000">
            <w:pPr>
              <w:jc w:val="center"/>
            </w:pPr>
            <w:r>
              <w:rPr>
                <w:sz w:val="18"/>
                <w:szCs w:val="18"/>
              </w:rPr>
              <w:t>Yes</w:t>
            </w:r>
          </w:p>
        </w:tc>
        <w:tc>
          <w:tcPr>
            <w:tcW w:w="1500" w:type="dxa"/>
            <w:tcMar>
              <w:top w:w="60" w:type="dxa"/>
              <w:left w:w="80" w:type="dxa"/>
              <w:bottom w:w="60" w:type="dxa"/>
              <w:right w:w="80" w:type="dxa"/>
            </w:tcMar>
          </w:tcPr>
          <w:p w14:paraId="09D2550A" w14:textId="77777777" w:rsidR="007F3CF8" w:rsidRDefault="00000000">
            <w:pPr>
              <w:jc w:val="center"/>
            </w:pPr>
            <w:r>
              <w:rPr>
                <w:sz w:val="18"/>
                <w:szCs w:val="18"/>
              </w:rPr>
              <w:t>No</w:t>
            </w:r>
          </w:p>
        </w:tc>
        <w:tc>
          <w:tcPr>
            <w:tcW w:w="1500" w:type="dxa"/>
            <w:tcMar>
              <w:top w:w="60" w:type="dxa"/>
              <w:left w:w="80" w:type="dxa"/>
              <w:bottom w:w="60" w:type="dxa"/>
              <w:right w:w="80" w:type="dxa"/>
            </w:tcMar>
          </w:tcPr>
          <w:p w14:paraId="651526B0" w14:textId="77777777" w:rsidR="007F3CF8" w:rsidRDefault="00000000">
            <w:pPr>
              <w:jc w:val="center"/>
            </w:pPr>
            <w:r>
              <w:rPr>
                <w:sz w:val="18"/>
                <w:szCs w:val="18"/>
              </w:rPr>
              <w:t>Yes</w:t>
            </w:r>
          </w:p>
        </w:tc>
      </w:tr>
      <w:tr w:rsidR="007F3CF8" w14:paraId="0D64EACE" w14:textId="77777777">
        <w:tc>
          <w:tcPr>
            <w:tcW w:w="1800" w:type="dxa"/>
            <w:tcMar>
              <w:top w:w="60" w:type="dxa"/>
              <w:left w:w="80" w:type="dxa"/>
              <w:bottom w:w="60" w:type="dxa"/>
              <w:right w:w="80" w:type="dxa"/>
            </w:tcMar>
          </w:tcPr>
          <w:p w14:paraId="245497BF" w14:textId="77777777" w:rsidR="007F3CF8" w:rsidRDefault="00000000">
            <w:pPr>
              <w:jc w:val="center"/>
            </w:pPr>
            <w:proofErr w:type="spellStart"/>
            <w:r>
              <w:rPr>
                <w:sz w:val="18"/>
                <w:szCs w:val="18"/>
              </w:rPr>
              <w:t>Musamih</w:t>
            </w:r>
            <w:proofErr w:type="spellEnd"/>
            <w:r>
              <w:rPr>
                <w:sz w:val="18"/>
                <w:szCs w:val="18"/>
              </w:rPr>
              <w:t xml:space="preserve"> et al. [8]</w:t>
            </w:r>
          </w:p>
        </w:tc>
        <w:tc>
          <w:tcPr>
            <w:tcW w:w="1500" w:type="dxa"/>
            <w:tcMar>
              <w:top w:w="60" w:type="dxa"/>
              <w:left w:w="80" w:type="dxa"/>
              <w:bottom w:w="60" w:type="dxa"/>
              <w:right w:w="80" w:type="dxa"/>
            </w:tcMar>
          </w:tcPr>
          <w:p w14:paraId="5C4E3282" w14:textId="77777777" w:rsidR="007F3CF8" w:rsidRDefault="00000000">
            <w:pPr>
              <w:jc w:val="center"/>
            </w:pPr>
            <w:r>
              <w:rPr>
                <w:sz w:val="18"/>
                <w:szCs w:val="18"/>
              </w:rPr>
              <w:t>Ethereum</w:t>
            </w:r>
          </w:p>
        </w:tc>
        <w:tc>
          <w:tcPr>
            <w:tcW w:w="1560" w:type="dxa"/>
            <w:tcMar>
              <w:top w:w="60" w:type="dxa"/>
              <w:left w:w="80" w:type="dxa"/>
              <w:bottom w:w="60" w:type="dxa"/>
              <w:right w:w="80" w:type="dxa"/>
            </w:tcMar>
          </w:tcPr>
          <w:p w14:paraId="3EF480F0" w14:textId="77777777" w:rsidR="007F3CF8" w:rsidRDefault="00000000">
            <w:pPr>
              <w:jc w:val="center"/>
            </w:pPr>
            <w:r>
              <w:rPr>
                <w:sz w:val="18"/>
                <w:szCs w:val="18"/>
              </w:rPr>
              <w:t>Custom</w:t>
            </w:r>
          </w:p>
        </w:tc>
        <w:tc>
          <w:tcPr>
            <w:tcW w:w="1500" w:type="dxa"/>
            <w:tcMar>
              <w:top w:w="60" w:type="dxa"/>
              <w:left w:w="80" w:type="dxa"/>
              <w:bottom w:w="60" w:type="dxa"/>
              <w:right w:w="80" w:type="dxa"/>
            </w:tcMar>
          </w:tcPr>
          <w:p w14:paraId="45035D9D" w14:textId="77777777" w:rsidR="007F3CF8" w:rsidRDefault="00000000">
            <w:pPr>
              <w:jc w:val="center"/>
            </w:pPr>
            <w:r>
              <w:rPr>
                <w:sz w:val="18"/>
                <w:szCs w:val="18"/>
              </w:rPr>
              <w:t>IPFS</w:t>
            </w:r>
          </w:p>
        </w:tc>
        <w:tc>
          <w:tcPr>
            <w:tcW w:w="1500" w:type="dxa"/>
            <w:tcMar>
              <w:top w:w="60" w:type="dxa"/>
              <w:left w:w="80" w:type="dxa"/>
              <w:bottom w:w="60" w:type="dxa"/>
              <w:right w:w="80" w:type="dxa"/>
            </w:tcMar>
          </w:tcPr>
          <w:p w14:paraId="2D2B357D" w14:textId="77777777" w:rsidR="007F3CF8" w:rsidRDefault="00000000">
            <w:pPr>
              <w:jc w:val="center"/>
            </w:pPr>
            <w:r>
              <w:rPr>
                <w:sz w:val="18"/>
                <w:szCs w:val="18"/>
              </w:rPr>
              <w:t>No</w:t>
            </w:r>
          </w:p>
        </w:tc>
        <w:tc>
          <w:tcPr>
            <w:tcW w:w="1500" w:type="dxa"/>
            <w:tcMar>
              <w:top w:w="60" w:type="dxa"/>
              <w:left w:w="80" w:type="dxa"/>
              <w:bottom w:w="60" w:type="dxa"/>
              <w:right w:w="80" w:type="dxa"/>
            </w:tcMar>
          </w:tcPr>
          <w:p w14:paraId="6DAFD400" w14:textId="77777777" w:rsidR="007F3CF8" w:rsidRDefault="00000000">
            <w:pPr>
              <w:jc w:val="center"/>
            </w:pPr>
            <w:r>
              <w:rPr>
                <w:sz w:val="18"/>
                <w:szCs w:val="18"/>
              </w:rPr>
              <w:t>Partial</w:t>
            </w:r>
          </w:p>
        </w:tc>
      </w:tr>
      <w:tr w:rsidR="007F3CF8" w14:paraId="3508236D" w14:textId="77777777">
        <w:tc>
          <w:tcPr>
            <w:tcW w:w="1800" w:type="dxa"/>
            <w:tcMar>
              <w:top w:w="60" w:type="dxa"/>
              <w:left w:w="80" w:type="dxa"/>
              <w:bottom w:w="60" w:type="dxa"/>
              <w:right w:w="80" w:type="dxa"/>
            </w:tcMar>
          </w:tcPr>
          <w:p w14:paraId="73909C67" w14:textId="77777777" w:rsidR="007F3CF8" w:rsidRDefault="00000000">
            <w:pPr>
              <w:jc w:val="center"/>
            </w:pPr>
            <w:r>
              <w:rPr>
                <w:sz w:val="18"/>
                <w:szCs w:val="18"/>
              </w:rPr>
              <w:t>Bandhu et al. [16]</w:t>
            </w:r>
          </w:p>
        </w:tc>
        <w:tc>
          <w:tcPr>
            <w:tcW w:w="1500" w:type="dxa"/>
            <w:tcMar>
              <w:top w:w="60" w:type="dxa"/>
              <w:left w:w="80" w:type="dxa"/>
              <w:bottom w:w="60" w:type="dxa"/>
              <w:right w:w="80" w:type="dxa"/>
            </w:tcMar>
          </w:tcPr>
          <w:p w14:paraId="0DCD04C5" w14:textId="77777777" w:rsidR="007F3CF8" w:rsidRDefault="00000000">
            <w:pPr>
              <w:jc w:val="center"/>
            </w:pPr>
            <w:r>
              <w:rPr>
                <w:sz w:val="18"/>
                <w:szCs w:val="18"/>
              </w:rPr>
              <w:t>Ethereum</w:t>
            </w:r>
          </w:p>
        </w:tc>
        <w:tc>
          <w:tcPr>
            <w:tcW w:w="1560" w:type="dxa"/>
            <w:tcMar>
              <w:top w:w="60" w:type="dxa"/>
              <w:left w:w="80" w:type="dxa"/>
              <w:bottom w:w="60" w:type="dxa"/>
              <w:right w:w="80" w:type="dxa"/>
            </w:tcMar>
          </w:tcPr>
          <w:p w14:paraId="0D3CBC08" w14:textId="77777777" w:rsidR="007F3CF8" w:rsidRDefault="00000000">
            <w:pPr>
              <w:jc w:val="center"/>
            </w:pPr>
            <w:r>
              <w:rPr>
                <w:sz w:val="18"/>
                <w:szCs w:val="18"/>
              </w:rPr>
              <w:t>Custom</w:t>
            </w:r>
          </w:p>
        </w:tc>
        <w:tc>
          <w:tcPr>
            <w:tcW w:w="1500" w:type="dxa"/>
            <w:tcMar>
              <w:top w:w="60" w:type="dxa"/>
              <w:left w:w="80" w:type="dxa"/>
              <w:bottom w:w="60" w:type="dxa"/>
              <w:right w:w="80" w:type="dxa"/>
            </w:tcMar>
          </w:tcPr>
          <w:p w14:paraId="6E0636CD" w14:textId="77777777" w:rsidR="007F3CF8" w:rsidRDefault="00000000">
            <w:pPr>
              <w:jc w:val="center"/>
            </w:pPr>
            <w:r>
              <w:rPr>
                <w:sz w:val="18"/>
                <w:szCs w:val="18"/>
              </w:rPr>
              <w:t>Yes</w:t>
            </w:r>
          </w:p>
        </w:tc>
        <w:tc>
          <w:tcPr>
            <w:tcW w:w="1500" w:type="dxa"/>
            <w:tcMar>
              <w:top w:w="60" w:type="dxa"/>
              <w:left w:w="80" w:type="dxa"/>
              <w:bottom w:w="60" w:type="dxa"/>
              <w:right w:w="80" w:type="dxa"/>
            </w:tcMar>
          </w:tcPr>
          <w:p w14:paraId="7F7143A4" w14:textId="77777777" w:rsidR="007F3CF8" w:rsidRDefault="00000000">
            <w:pPr>
              <w:jc w:val="center"/>
            </w:pPr>
            <w:r>
              <w:rPr>
                <w:sz w:val="18"/>
                <w:szCs w:val="18"/>
              </w:rPr>
              <w:t>No</w:t>
            </w:r>
          </w:p>
        </w:tc>
        <w:tc>
          <w:tcPr>
            <w:tcW w:w="1500" w:type="dxa"/>
            <w:tcMar>
              <w:top w:w="60" w:type="dxa"/>
              <w:left w:w="80" w:type="dxa"/>
              <w:bottom w:w="60" w:type="dxa"/>
              <w:right w:w="80" w:type="dxa"/>
            </w:tcMar>
          </w:tcPr>
          <w:p w14:paraId="373CDD72" w14:textId="77777777" w:rsidR="007F3CF8" w:rsidRDefault="00000000">
            <w:pPr>
              <w:jc w:val="center"/>
            </w:pPr>
            <w:r>
              <w:rPr>
                <w:sz w:val="18"/>
                <w:szCs w:val="18"/>
              </w:rPr>
              <w:t>Yes</w:t>
            </w:r>
          </w:p>
        </w:tc>
      </w:tr>
      <w:tr w:rsidR="007F3CF8" w14:paraId="4373111E" w14:textId="77777777">
        <w:tc>
          <w:tcPr>
            <w:tcW w:w="1800" w:type="dxa"/>
            <w:tcMar>
              <w:top w:w="60" w:type="dxa"/>
              <w:left w:w="80" w:type="dxa"/>
              <w:bottom w:w="60" w:type="dxa"/>
              <w:right w:w="80" w:type="dxa"/>
            </w:tcMar>
          </w:tcPr>
          <w:p w14:paraId="1443CB3E" w14:textId="77777777" w:rsidR="007F3CF8" w:rsidRDefault="00000000">
            <w:pPr>
              <w:jc w:val="center"/>
            </w:pPr>
            <w:r>
              <w:rPr>
                <w:sz w:val="18"/>
                <w:szCs w:val="18"/>
              </w:rPr>
              <w:t>Nanda et al. [17]</w:t>
            </w:r>
          </w:p>
        </w:tc>
        <w:tc>
          <w:tcPr>
            <w:tcW w:w="1500" w:type="dxa"/>
            <w:tcMar>
              <w:top w:w="60" w:type="dxa"/>
              <w:left w:w="80" w:type="dxa"/>
              <w:bottom w:w="60" w:type="dxa"/>
              <w:right w:w="80" w:type="dxa"/>
            </w:tcMar>
          </w:tcPr>
          <w:p w14:paraId="07D8B74F" w14:textId="77777777" w:rsidR="007F3CF8" w:rsidRDefault="00000000">
            <w:pPr>
              <w:jc w:val="center"/>
            </w:pPr>
            <w:proofErr w:type="spellStart"/>
            <w:r>
              <w:rPr>
                <w:sz w:val="18"/>
                <w:szCs w:val="18"/>
              </w:rPr>
              <w:t>Ethereum+IoT</w:t>
            </w:r>
            <w:proofErr w:type="spellEnd"/>
          </w:p>
        </w:tc>
        <w:tc>
          <w:tcPr>
            <w:tcW w:w="1560" w:type="dxa"/>
            <w:tcMar>
              <w:top w:w="60" w:type="dxa"/>
              <w:left w:w="80" w:type="dxa"/>
              <w:bottom w:w="60" w:type="dxa"/>
              <w:right w:w="80" w:type="dxa"/>
            </w:tcMar>
          </w:tcPr>
          <w:p w14:paraId="1FFD0481" w14:textId="77777777" w:rsidR="007F3CF8" w:rsidRDefault="00000000">
            <w:pPr>
              <w:jc w:val="center"/>
            </w:pPr>
            <w:r>
              <w:rPr>
                <w:sz w:val="18"/>
                <w:szCs w:val="18"/>
              </w:rPr>
              <w:t>Custom</w:t>
            </w:r>
          </w:p>
        </w:tc>
        <w:tc>
          <w:tcPr>
            <w:tcW w:w="1500" w:type="dxa"/>
            <w:tcMar>
              <w:top w:w="60" w:type="dxa"/>
              <w:left w:w="80" w:type="dxa"/>
              <w:bottom w:w="60" w:type="dxa"/>
              <w:right w:w="80" w:type="dxa"/>
            </w:tcMar>
          </w:tcPr>
          <w:p w14:paraId="48A2822F" w14:textId="77777777" w:rsidR="007F3CF8" w:rsidRDefault="00000000">
            <w:pPr>
              <w:jc w:val="center"/>
            </w:pPr>
            <w:r>
              <w:rPr>
                <w:sz w:val="18"/>
                <w:szCs w:val="18"/>
              </w:rPr>
              <w:t>Yes</w:t>
            </w:r>
          </w:p>
        </w:tc>
        <w:tc>
          <w:tcPr>
            <w:tcW w:w="1500" w:type="dxa"/>
            <w:tcMar>
              <w:top w:w="60" w:type="dxa"/>
              <w:left w:w="80" w:type="dxa"/>
              <w:bottom w:w="60" w:type="dxa"/>
              <w:right w:w="80" w:type="dxa"/>
            </w:tcMar>
          </w:tcPr>
          <w:p w14:paraId="1D691D31" w14:textId="77777777" w:rsidR="007F3CF8" w:rsidRDefault="00000000">
            <w:pPr>
              <w:jc w:val="center"/>
            </w:pPr>
            <w:r>
              <w:rPr>
                <w:sz w:val="18"/>
                <w:szCs w:val="18"/>
              </w:rPr>
              <w:t>No</w:t>
            </w:r>
          </w:p>
        </w:tc>
        <w:tc>
          <w:tcPr>
            <w:tcW w:w="1500" w:type="dxa"/>
            <w:tcMar>
              <w:top w:w="60" w:type="dxa"/>
              <w:left w:w="80" w:type="dxa"/>
              <w:bottom w:w="60" w:type="dxa"/>
              <w:right w:w="80" w:type="dxa"/>
            </w:tcMar>
          </w:tcPr>
          <w:p w14:paraId="6491ABA7" w14:textId="77777777" w:rsidR="007F3CF8" w:rsidRDefault="00000000">
            <w:pPr>
              <w:jc w:val="center"/>
            </w:pPr>
            <w:r>
              <w:rPr>
                <w:sz w:val="18"/>
                <w:szCs w:val="18"/>
              </w:rPr>
              <w:t>Yes</w:t>
            </w:r>
          </w:p>
        </w:tc>
      </w:tr>
      <w:tr w:rsidR="007F3CF8" w14:paraId="599EDDDE" w14:textId="77777777">
        <w:tc>
          <w:tcPr>
            <w:tcW w:w="1800" w:type="dxa"/>
            <w:tcMar>
              <w:top w:w="60" w:type="dxa"/>
              <w:left w:w="80" w:type="dxa"/>
              <w:bottom w:w="60" w:type="dxa"/>
              <w:right w:w="80" w:type="dxa"/>
            </w:tcMar>
          </w:tcPr>
          <w:p w14:paraId="30647182" w14:textId="77777777" w:rsidR="007F3CF8" w:rsidRDefault="00000000">
            <w:pPr>
              <w:jc w:val="center"/>
            </w:pPr>
            <w:r>
              <w:rPr>
                <w:b/>
                <w:bCs/>
                <w:sz w:val="18"/>
                <w:szCs w:val="18"/>
              </w:rPr>
              <w:t>Proposed System</w:t>
            </w:r>
          </w:p>
        </w:tc>
        <w:tc>
          <w:tcPr>
            <w:tcW w:w="1500" w:type="dxa"/>
            <w:tcMar>
              <w:top w:w="60" w:type="dxa"/>
              <w:left w:w="80" w:type="dxa"/>
              <w:bottom w:w="60" w:type="dxa"/>
              <w:right w:w="80" w:type="dxa"/>
            </w:tcMar>
          </w:tcPr>
          <w:p w14:paraId="18635841" w14:textId="77777777" w:rsidR="007F3CF8" w:rsidRDefault="00000000">
            <w:pPr>
              <w:jc w:val="center"/>
            </w:pPr>
            <w:r>
              <w:rPr>
                <w:sz w:val="18"/>
                <w:szCs w:val="18"/>
              </w:rPr>
              <w:t>Ethereum</w:t>
            </w:r>
          </w:p>
        </w:tc>
        <w:tc>
          <w:tcPr>
            <w:tcW w:w="1560" w:type="dxa"/>
            <w:tcMar>
              <w:top w:w="60" w:type="dxa"/>
              <w:left w:w="80" w:type="dxa"/>
              <w:bottom w:w="60" w:type="dxa"/>
              <w:right w:w="80" w:type="dxa"/>
            </w:tcMar>
          </w:tcPr>
          <w:p w14:paraId="363D68CA" w14:textId="77777777" w:rsidR="007F3CF8" w:rsidRDefault="00000000">
            <w:pPr>
              <w:jc w:val="center"/>
            </w:pPr>
            <w:r>
              <w:rPr>
                <w:sz w:val="18"/>
                <w:szCs w:val="18"/>
              </w:rPr>
              <w:t>ERC-721 NFT</w:t>
            </w:r>
          </w:p>
        </w:tc>
        <w:tc>
          <w:tcPr>
            <w:tcW w:w="1500" w:type="dxa"/>
            <w:tcMar>
              <w:top w:w="60" w:type="dxa"/>
              <w:left w:w="80" w:type="dxa"/>
              <w:bottom w:w="60" w:type="dxa"/>
              <w:right w:w="80" w:type="dxa"/>
            </w:tcMar>
          </w:tcPr>
          <w:p w14:paraId="6CE9E98B" w14:textId="77777777" w:rsidR="007F3CF8" w:rsidRDefault="00000000">
            <w:pPr>
              <w:jc w:val="center"/>
            </w:pPr>
            <w:r>
              <w:rPr>
                <w:sz w:val="18"/>
                <w:szCs w:val="18"/>
              </w:rPr>
              <w:t>MongoDB</w:t>
            </w:r>
          </w:p>
        </w:tc>
        <w:tc>
          <w:tcPr>
            <w:tcW w:w="1500" w:type="dxa"/>
            <w:tcMar>
              <w:top w:w="60" w:type="dxa"/>
              <w:left w:w="80" w:type="dxa"/>
              <w:bottom w:w="60" w:type="dxa"/>
              <w:right w:w="80" w:type="dxa"/>
            </w:tcMar>
          </w:tcPr>
          <w:p w14:paraId="64B1635E" w14:textId="77777777" w:rsidR="007F3CF8" w:rsidRDefault="00000000">
            <w:pPr>
              <w:jc w:val="center"/>
            </w:pPr>
            <w:r>
              <w:rPr>
                <w:sz w:val="18"/>
                <w:szCs w:val="18"/>
              </w:rPr>
              <w:t>Yes (Socket.io)</w:t>
            </w:r>
          </w:p>
        </w:tc>
        <w:tc>
          <w:tcPr>
            <w:tcW w:w="1500" w:type="dxa"/>
            <w:tcMar>
              <w:top w:w="60" w:type="dxa"/>
              <w:left w:w="80" w:type="dxa"/>
              <w:bottom w:w="60" w:type="dxa"/>
              <w:right w:w="80" w:type="dxa"/>
            </w:tcMar>
          </w:tcPr>
          <w:p w14:paraId="043E0051" w14:textId="77777777" w:rsidR="007F3CF8" w:rsidRDefault="00000000">
            <w:pPr>
              <w:jc w:val="center"/>
            </w:pPr>
            <w:r>
              <w:rPr>
                <w:sz w:val="18"/>
                <w:szCs w:val="18"/>
              </w:rPr>
              <w:t>Full (2-tier)</w:t>
            </w:r>
          </w:p>
        </w:tc>
      </w:tr>
    </w:tbl>
    <w:p w14:paraId="3EB28190" w14:textId="77777777" w:rsidR="007F3CF8" w:rsidRDefault="007F3CF8">
      <w:pPr>
        <w:spacing w:after="120"/>
      </w:pPr>
    </w:p>
    <w:p w14:paraId="61214B13" w14:textId="77777777" w:rsidR="007F3CF8" w:rsidRDefault="00000000">
      <w:pPr>
        <w:spacing w:before="160" w:after="80"/>
        <w:jc w:val="center"/>
      </w:pPr>
      <w:r>
        <w:rPr>
          <w:b/>
          <w:bCs/>
          <w:smallCaps/>
          <w:sz w:val="22"/>
          <w:szCs w:val="22"/>
        </w:rPr>
        <w:t>III. SYSTEM ARCHITECTURE</w:t>
      </w:r>
    </w:p>
    <w:p w14:paraId="554A08F8" w14:textId="77777777" w:rsidR="007F3CF8" w:rsidRDefault="00000000">
      <w:pPr>
        <w:spacing w:before="120" w:after="60"/>
      </w:pPr>
      <w:r>
        <w:rPr>
          <w:b/>
          <w:bCs/>
          <w:i/>
          <w:iCs/>
        </w:rPr>
        <w:t>A. Overview</w:t>
      </w:r>
    </w:p>
    <w:p w14:paraId="1446EF9B" w14:textId="77777777" w:rsidR="007F3CF8" w:rsidRDefault="00000000">
      <w:pPr>
        <w:spacing w:after="80"/>
        <w:jc w:val="both"/>
      </w:pPr>
      <w:r>
        <w:t>The proposed system follows a three-tier architecture: (1) a blockchain layer hosting the ERC-721 smart contract; (2) an application layer comprising a Node.js/Express API server and a MongoDB database; and (3) a presentation layer consisting of a React single-page application. The blockchain layer provides the immutable backbone; the application layer handles business logic, event indexing, and authentication; and the presentation layer exposes role-specific dashboards and verification tools.</w:t>
      </w:r>
    </w:p>
    <w:p w14:paraId="0062DB2A" w14:textId="77777777" w:rsidR="007F3CF8" w:rsidRDefault="00000000">
      <w:pPr>
        <w:spacing w:after="80"/>
        <w:jc w:val="both"/>
      </w:pPr>
      <w:r>
        <w:t xml:space="preserve">This layered decomposition aligns with the hybrid architecture pattern recommended by </w:t>
      </w:r>
      <w:proofErr w:type="spellStart"/>
      <w:r>
        <w:t>Musamih</w:t>
      </w:r>
      <w:proofErr w:type="spellEnd"/>
      <w:r>
        <w:t xml:space="preserve"> et al. [8] and empirically validated by Tanwar et al. [20], in which placing only minimal state on-chain—token ownership and checkpoint hashes—while delegating rich metadata to an off-chain database achieves the dual objectives of cryptographic integrity and practical query performance.</w:t>
      </w:r>
    </w:p>
    <w:p w14:paraId="6B7E832B" w14:textId="77777777" w:rsidR="007F3CF8" w:rsidRDefault="00000000">
      <w:pPr>
        <w:spacing w:before="120" w:after="60"/>
      </w:pPr>
      <w:r>
        <w:rPr>
          <w:b/>
          <w:bCs/>
          <w:i/>
          <w:iCs/>
        </w:rPr>
        <w:t>B. Stakeholder Model</w:t>
      </w:r>
    </w:p>
    <w:p w14:paraId="6F7AE934" w14:textId="77777777" w:rsidR="007F3CF8" w:rsidRDefault="00000000">
      <w:pPr>
        <w:spacing w:after="80"/>
        <w:jc w:val="both"/>
      </w:pPr>
      <w:r>
        <w:t>Three stakeholder classes participate in the system:</w:t>
      </w:r>
    </w:p>
    <w:p w14:paraId="59515D5C" w14:textId="77777777" w:rsidR="007F3CF8" w:rsidRDefault="00000000">
      <w:pPr>
        <w:spacing w:after="60"/>
        <w:jc w:val="both"/>
      </w:pPr>
      <w:r>
        <w:rPr>
          <w:b/>
          <w:bCs/>
        </w:rPr>
        <w:t>Manufacturer:</w:t>
      </w:r>
      <w:r>
        <w:t xml:space="preserve"> Creates drug batches by minting ERC-721 tokens. Responsible for populating initial batch metadata (drug name, lot number, manufacturing date, expiry date, certificate hash) and initiating the first custody record.</w:t>
      </w:r>
    </w:p>
    <w:p w14:paraId="21777ACD" w14:textId="77777777" w:rsidR="007F3CF8" w:rsidRDefault="00000000">
      <w:pPr>
        <w:spacing w:after="60"/>
        <w:jc w:val="both"/>
      </w:pPr>
      <w:r>
        <w:rPr>
          <w:b/>
          <w:bCs/>
        </w:rPr>
        <w:t>Distributor:</w:t>
      </w:r>
      <w:r>
        <w:t xml:space="preserve"> Receives token ownership via on-chain transfer. Records geographic checkpoint data (GPS coordinates, timestamp, handler signature) to append an immutable waypoint to the provenance chain.</w:t>
      </w:r>
    </w:p>
    <w:p w14:paraId="7FAEBEEB" w14:textId="77777777" w:rsidR="007F3CF8" w:rsidRDefault="00000000">
      <w:pPr>
        <w:spacing w:after="120"/>
        <w:jc w:val="both"/>
      </w:pPr>
      <w:r>
        <w:rPr>
          <w:b/>
          <w:bCs/>
        </w:rPr>
        <w:t>Retailer / Pharmacist:</w:t>
      </w:r>
      <w:r>
        <w:t xml:space="preserve"> Receives the final token transfer before dispensing to the consumer. Provides a QR-code–based verification interface that any stakeholder (including end consumers) can use to retrieve the complete on-chain history of a batch.</w:t>
      </w:r>
    </w:p>
    <w:p w14:paraId="6DDF4344" w14:textId="77777777" w:rsidR="007F3CF8" w:rsidRDefault="00000000">
      <w:pPr>
        <w:spacing w:before="120" w:after="60"/>
      </w:pPr>
      <w:r>
        <w:rPr>
          <w:b/>
          <w:bCs/>
          <w:i/>
          <w:iCs/>
        </w:rPr>
        <w:t>C. Data Flow</w:t>
      </w:r>
    </w:p>
    <w:p w14:paraId="29247852" w14:textId="77777777" w:rsidR="007F3CF8" w:rsidRDefault="00000000">
      <w:pPr>
        <w:spacing w:after="80"/>
        <w:jc w:val="both"/>
      </w:pPr>
      <w:r>
        <w:t xml:space="preserve">The lifecycle of a drug batch proceeds through four phases: (1) Minting—the manufacturer calls the mint() function on the smart contract, specifying the batch identifier and an IPFS hash of the signed batch certificate; the contract emits a Transfer event from address(0) to the manufacturer; (2) Primary Distribution—the manufacturer calls transfer() to forward token ownership to a licensed distributor; (3) Secondary Distribution / Checkpoint Logging—distributors append signed checkpoint records (location, timestamp) via a dedicated </w:t>
      </w:r>
      <w:proofErr w:type="spellStart"/>
      <w:r>
        <w:t>addCheckpoint</w:t>
      </w:r>
      <w:proofErr w:type="spellEnd"/>
      <w:r>
        <w:t xml:space="preserve">() function, which does not change token ownership but appends an event to the on-chain log; (4) Retail and Verification—the retailer accepts the final transfer, and the consumer or regulator may call </w:t>
      </w:r>
      <w:proofErr w:type="spellStart"/>
      <w:r>
        <w:t>getHistory</w:t>
      </w:r>
      <w:proofErr w:type="spellEnd"/>
      <w:r>
        <w:t>() to retrieve the ordered sequence of all ownership transfers and checkpoints.</w:t>
      </w:r>
    </w:p>
    <w:p w14:paraId="7728BBED" w14:textId="77777777" w:rsidR="007F3CF8" w:rsidRDefault="00000000">
      <w:pPr>
        <w:spacing w:after="80"/>
        <w:jc w:val="both"/>
      </w:pPr>
      <w:r>
        <w:t xml:space="preserve">At each stage, the backend listens for the corresponding smart-contract events (Transfer, </w:t>
      </w:r>
      <w:proofErr w:type="spellStart"/>
      <w:r>
        <w:t>CheckpointAdded</w:t>
      </w:r>
      <w:proofErr w:type="spellEnd"/>
      <w:r>
        <w:t>) via the Ethers.js WebSocket provider and writes indexed records to MongoDB. Socket.io rooms scoped per role receive real-time push notifications whenever a new event is indexed, enabling dashboards to refresh without polling.</w:t>
      </w:r>
    </w:p>
    <w:p w14:paraId="70BE60A4" w14:textId="77777777" w:rsidR="007F3CF8" w:rsidRDefault="00000000">
      <w:pPr>
        <w:spacing w:before="160" w:after="80"/>
        <w:jc w:val="center"/>
      </w:pPr>
      <w:r>
        <w:rPr>
          <w:b/>
          <w:bCs/>
          <w:smallCaps/>
          <w:sz w:val="22"/>
          <w:szCs w:val="22"/>
        </w:rPr>
        <w:t>IV. SMART CONTRACT DESIGN</w:t>
      </w:r>
    </w:p>
    <w:p w14:paraId="528E62FF" w14:textId="77777777" w:rsidR="007F3CF8" w:rsidRDefault="00000000">
      <w:pPr>
        <w:spacing w:before="120" w:after="60"/>
      </w:pPr>
      <w:r>
        <w:rPr>
          <w:b/>
          <w:bCs/>
          <w:i/>
          <w:iCs/>
        </w:rPr>
        <w:t>A. ERC-721 Token Standard</w:t>
      </w:r>
    </w:p>
    <w:p w14:paraId="3B78AE5F" w14:textId="77777777" w:rsidR="007F3CF8" w:rsidRDefault="00000000">
      <w:pPr>
        <w:spacing w:after="80"/>
        <w:jc w:val="both"/>
      </w:pPr>
      <w:r>
        <w:t>The ERC-721 interface defines a minimal set of functions—</w:t>
      </w:r>
      <w:proofErr w:type="spellStart"/>
      <w:r>
        <w:t>balanceOf</w:t>
      </w:r>
      <w:proofErr w:type="spellEnd"/>
      <w:r>
        <w:t xml:space="preserve">(), </w:t>
      </w:r>
      <w:proofErr w:type="spellStart"/>
      <w:r>
        <w:t>ownerOf</w:t>
      </w:r>
      <w:proofErr w:type="spellEnd"/>
      <w:r>
        <w:t xml:space="preserve">(), </w:t>
      </w:r>
      <w:proofErr w:type="spellStart"/>
      <w:r>
        <w:t>transferFrom</w:t>
      </w:r>
      <w:proofErr w:type="spellEnd"/>
      <w:r>
        <w:t xml:space="preserve">(), and </w:t>
      </w:r>
      <w:proofErr w:type="spellStart"/>
      <w:r>
        <w:t>safeTransferFrom</w:t>
      </w:r>
      <w:proofErr w:type="spellEnd"/>
      <w:r>
        <w:t xml:space="preserve">()—along with the Transfer and Approval events required for composability with wallets and marketplaces [8]. The proposed contract inherits </w:t>
      </w:r>
      <w:proofErr w:type="spellStart"/>
      <w:r>
        <w:t>OpenZeppelin's</w:t>
      </w:r>
      <w:proofErr w:type="spellEnd"/>
      <w:r>
        <w:t xml:space="preserve"> audited ERC721 base implementation, which provides </w:t>
      </w:r>
      <w:proofErr w:type="spellStart"/>
      <w:r>
        <w:t>reentrancy</w:t>
      </w:r>
      <w:proofErr w:type="spellEnd"/>
      <w:r>
        <w:t xml:space="preserve">-safe transfer logic and </w:t>
      </w:r>
      <w:r>
        <w:lastRenderedPageBreak/>
        <w:t xml:space="preserve">correct event emission. </w:t>
      </w:r>
      <w:proofErr w:type="spellStart"/>
      <w:r>
        <w:t>OpenZeppelin's</w:t>
      </w:r>
      <w:proofErr w:type="spellEnd"/>
      <w:r>
        <w:t xml:space="preserve"> battle-tested libraries are recommended by the broader Ethereum security community as a baseline for safe token contracts [12].</w:t>
      </w:r>
    </w:p>
    <w:p w14:paraId="1FC65545" w14:textId="52216B9B" w:rsidR="007F3CF8" w:rsidRDefault="00000000">
      <w:pPr>
        <w:spacing w:after="80"/>
        <w:jc w:val="both"/>
      </w:pPr>
      <w:r>
        <w:t xml:space="preserve">Custom fields are appended in a </w:t>
      </w:r>
      <w:proofErr w:type="spellStart"/>
      <w:r>
        <w:t>BatchInfo</w:t>
      </w:r>
      <w:proofErr w:type="spellEnd"/>
      <w:r>
        <w:t xml:space="preserve"> struct that stores: </w:t>
      </w:r>
      <w:proofErr w:type="spellStart"/>
      <w:r>
        <w:t>batchId</w:t>
      </w:r>
      <w:proofErr w:type="spellEnd"/>
      <w:r>
        <w:t xml:space="preserve"> (bytes32), </w:t>
      </w:r>
      <w:proofErr w:type="spellStart"/>
      <w:r>
        <w:t>drugName</w:t>
      </w:r>
      <w:proofErr w:type="spellEnd"/>
      <w:r>
        <w:t xml:space="preserve"> (string), </w:t>
      </w:r>
      <w:proofErr w:type="spellStart"/>
      <w:r>
        <w:t>lotNumber</w:t>
      </w:r>
      <w:proofErr w:type="spellEnd"/>
      <w:r>
        <w:t xml:space="preserve"> (string), </w:t>
      </w:r>
      <w:proofErr w:type="spellStart"/>
      <w:r>
        <w:t>manufacturingDate</w:t>
      </w:r>
      <w:proofErr w:type="spellEnd"/>
      <w:r>
        <w:t xml:space="preserve"> (uint256), and status (</w:t>
      </w:r>
      <w:proofErr w:type="spellStart"/>
      <w:r>
        <w:t>enum</w:t>
      </w:r>
      <w:proofErr w:type="spellEnd"/>
      <w:r>
        <w:t xml:space="preserve">: {Active, Recalled}). </w:t>
      </w:r>
    </w:p>
    <w:p w14:paraId="16C1FAFB" w14:textId="77777777" w:rsidR="007F3CF8" w:rsidRDefault="00000000">
      <w:pPr>
        <w:spacing w:before="120" w:after="60"/>
      </w:pPr>
      <w:r>
        <w:rPr>
          <w:b/>
          <w:bCs/>
          <w:i/>
          <w:iCs/>
        </w:rPr>
        <w:t>B. Access Control Modifiers</w:t>
      </w:r>
    </w:p>
    <w:p w14:paraId="2AC62A87" w14:textId="77777777" w:rsidR="007F3CF8" w:rsidRDefault="00000000">
      <w:pPr>
        <w:spacing w:after="80"/>
        <w:jc w:val="both"/>
      </w:pPr>
      <w:r>
        <w:t>Two Solidity modifier constructs enforce the RBAC model:</w:t>
      </w:r>
    </w:p>
    <w:p w14:paraId="0F5A517E" w14:textId="77777777" w:rsidR="007F3CF8" w:rsidRDefault="00000000">
      <w:pPr>
        <w:spacing w:after="80"/>
        <w:jc w:val="both"/>
      </w:pPr>
      <w:proofErr w:type="spellStart"/>
      <w:r>
        <w:t>onlyManufacturer</w:t>
      </w:r>
      <w:proofErr w:type="spellEnd"/>
      <w:r>
        <w:t xml:space="preserve">: Checks that </w:t>
      </w:r>
      <w:proofErr w:type="spellStart"/>
      <w:r>
        <w:t>msg.sender</w:t>
      </w:r>
      <w:proofErr w:type="spellEnd"/>
      <w:r>
        <w:t xml:space="preserve"> is registered in a mapping(address =&gt; bool) maintained by the contract owner. The mint() function carries this modifier; attempts by non-registered addresses revert with the message "Caller is not a registered manufacturer.". This pattern mirrors the access gating employed by Bandhu et al. [16] and is consistent with the RBAC principles identified as best practice in [14].</w:t>
      </w:r>
    </w:p>
    <w:p w14:paraId="16F4F716" w14:textId="77777777" w:rsidR="007F3CF8" w:rsidRDefault="00000000">
      <w:pPr>
        <w:spacing w:after="80"/>
        <w:jc w:val="both"/>
      </w:pPr>
      <w:proofErr w:type="spellStart"/>
      <w:r>
        <w:t>onlyTokenOwner</w:t>
      </w:r>
      <w:proofErr w:type="spellEnd"/>
      <w:r>
        <w:t xml:space="preserve">: Verifies that </w:t>
      </w:r>
      <w:proofErr w:type="spellStart"/>
      <w:r>
        <w:t>msg.sender</w:t>
      </w:r>
      <w:proofErr w:type="spellEnd"/>
      <w:r>
        <w:t xml:space="preserve"> equals </w:t>
      </w:r>
      <w:proofErr w:type="spellStart"/>
      <w:r>
        <w:t>ownerOf</w:t>
      </w:r>
      <w:proofErr w:type="spellEnd"/>
      <w:r>
        <w:t>(</w:t>
      </w:r>
      <w:proofErr w:type="spellStart"/>
      <w:r>
        <w:t>tokenId</w:t>
      </w:r>
      <w:proofErr w:type="spellEnd"/>
      <w:r>
        <w:t xml:space="preserve">) before permitting a transfer or checkpoint addition. Because ERC-721 already enforces owner-only transfers in </w:t>
      </w:r>
      <w:proofErr w:type="spellStart"/>
      <w:r>
        <w:t>safeTransferFrom</w:t>
      </w:r>
      <w:proofErr w:type="spellEnd"/>
      <w:r>
        <w:t xml:space="preserve">(), the </w:t>
      </w:r>
      <w:proofErr w:type="spellStart"/>
      <w:r>
        <w:t>addCheckpoint</w:t>
      </w:r>
      <w:proofErr w:type="spellEnd"/>
      <w:r>
        <w:t>() function applies this modifier independently, since checkpoint addition is a custom operation not covered by the base standard.</w:t>
      </w:r>
    </w:p>
    <w:p w14:paraId="4EB7D631" w14:textId="77777777" w:rsidR="007F3CF8" w:rsidRDefault="00000000">
      <w:pPr>
        <w:spacing w:before="120" w:after="60"/>
      </w:pPr>
      <w:r>
        <w:rPr>
          <w:b/>
          <w:bCs/>
          <w:i/>
          <w:iCs/>
        </w:rPr>
        <w:t>C. Checkpoint Logging</w:t>
      </w:r>
    </w:p>
    <w:p w14:paraId="7DA0EF69" w14:textId="77777777" w:rsidR="007F3CF8" w:rsidRDefault="00000000">
      <w:pPr>
        <w:spacing w:after="80"/>
        <w:jc w:val="both"/>
      </w:pPr>
      <w:r>
        <w:t xml:space="preserve">The </w:t>
      </w:r>
      <w:proofErr w:type="spellStart"/>
      <w:r>
        <w:t>addCheckpoint</w:t>
      </w:r>
      <w:proofErr w:type="spellEnd"/>
      <w:r>
        <w:t xml:space="preserve">() function accepts (uint256 </w:t>
      </w:r>
      <w:proofErr w:type="spellStart"/>
      <w:r>
        <w:t>tokenId</w:t>
      </w:r>
      <w:proofErr w:type="spellEnd"/>
      <w:r>
        <w:t xml:space="preserve">, string </w:t>
      </w:r>
      <w:proofErr w:type="spellStart"/>
      <w:r>
        <w:t>calldata</w:t>
      </w:r>
      <w:proofErr w:type="spellEnd"/>
      <w:r>
        <w:t xml:space="preserve"> location, uint256 timestamp) and emits a </w:t>
      </w:r>
      <w:proofErr w:type="spellStart"/>
      <w:r>
        <w:t>CheckpointAdded</w:t>
      </w:r>
      <w:proofErr w:type="spellEnd"/>
      <w:r>
        <w:t xml:space="preserve">(uint256 indexed </w:t>
      </w:r>
      <w:proofErr w:type="spellStart"/>
      <w:r>
        <w:t>tokenId</w:t>
      </w:r>
      <w:proofErr w:type="spellEnd"/>
      <w:r>
        <w:t xml:space="preserve">, address indexed actor, string location, uint256 timestamp) event. Unlike the Transfer event—which records only sender and receiver—the </w:t>
      </w:r>
      <w:proofErr w:type="spellStart"/>
      <w:r>
        <w:t>CheckpointAdded</w:t>
      </w:r>
      <w:proofErr w:type="spellEnd"/>
      <w:r>
        <w:t xml:space="preserve"> event preserves a full location string, enabling regulators to reconstruct the physical route a batch followed. All events are permanently indexed in the Ethereum event log, making them retrievable via </w:t>
      </w:r>
      <w:proofErr w:type="spellStart"/>
      <w:r>
        <w:t>eth_getLogs</w:t>
      </w:r>
      <w:proofErr w:type="spellEnd"/>
      <w:r>
        <w:t xml:space="preserve"> calls without additional off-chain storage for audit purposes [15].</w:t>
      </w:r>
    </w:p>
    <w:p w14:paraId="220D98A4" w14:textId="77777777" w:rsidR="007F3CF8" w:rsidRDefault="00000000">
      <w:pPr>
        <w:spacing w:before="120" w:after="60"/>
      </w:pPr>
      <w:r>
        <w:rPr>
          <w:b/>
          <w:bCs/>
          <w:i/>
          <w:iCs/>
        </w:rPr>
        <w:t>D. Recall Mechanism</w:t>
      </w:r>
    </w:p>
    <w:p w14:paraId="7EA58B0A" w14:textId="77777777" w:rsidR="007F3CF8" w:rsidRDefault="00000000">
      <w:pPr>
        <w:spacing w:after="80"/>
        <w:jc w:val="both"/>
      </w:pPr>
      <w:r>
        <w:t xml:space="preserve">A </w:t>
      </w:r>
      <w:proofErr w:type="spellStart"/>
      <w:r>
        <w:t>setStatus</w:t>
      </w:r>
      <w:proofErr w:type="spellEnd"/>
      <w:r>
        <w:t>() function restricted to the contract owner allows marking a batch's status as Recalled. The frontend displays a prominent alert on any product detail page whose underlying token carries Recalled status, satisfying the auditable recall traceability requirement identified in DSCSA regulations [30]. This mechanism extends the base tokenization scheme without altering the immutable ownership record.</w:t>
      </w:r>
    </w:p>
    <w:p w14:paraId="2FD3F911" w14:textId="77777777" w:rsidR="007F3CF8" w:rsidRDefault="00000000">
      <w:pPr>
        <w:spacing w:before="160" w:after="80"/>
        <w:jc w:val="center"/>
      </w:pPr>
      <w:r>
        <w:rPr>
          <w:b/>
          <w:bCs/>
          <w:smallCaps/>
          <w:sz w:val="22"/>
          <w:szCs w:val="22"/>
        </w:rPr>
        <w:t>V. BACKEND AND FRONTEND IMPLEMENTATION</w:t>
      </w:r>
    </w:p>
    <w:p w14:paraId="7206D385" w14:textId="77777777" w:rsidR="007F3CF8" w:rsidRDefault="00000000">
      <w:pPr>
        <w:spacing w:before="120" w:after="60"/>
      </w:pPr>
      <w:r>
        <w:rPr>
          <w:b/>
          <w:bCs/>
          <w:i/>
          <w:iCs/>
        </w:rPr>
        <w:t>A. Backend Architecture</w:t>
      </w:r>
    </w:p>
    <w:p w14:paraId="0AED8710" w14:textId="77777777" w:rsidR="007F3CF8" w:rsidRDefault="00000000">
      <w:pPr>
        <w:spacing w:after="80"/>
        <w:jc w:val="both"/>
      </w:pPr>
      <w:r>
        <w:t xml:space="preserve">The backend is implemented in Node.js with the Express framework. An Ethers.js WebSocket provider connects to an Ethereum node (configurable for Hardhat local network, Sepolia </w:t>
      </w:r>
      <w:proofErr w:type="spellStart"/>
      <w:r>
        <w:t>testnet</w:t>
      </w:r>
      <w:proofErr w:type="spellEnd"/>
      <w:r>
        <w:t xml:space="preserve">, or Ethereum </w:t>
      </w:r>
      <w:proofErr w:type="spellStart"/>
      <w:r>
        <w:t>mainnet</w:t>
      </w:r>
      <w:proofErr w:type="spellEnd"/>
      <w:r>
        <w:t xml:space="preserve">) and registers event listeners for the Transfer and </w:t>
      </w:r>
      <w:proofErr w:type="spellStart"/>
      <w:r>
        <w:t>CheckpointAdded</w:t>
      </w:r>
      <w:proofErr w:type="spellEnd"/>
      <w:r>
        <w:t xml:space="preserve"> events. Upon each event, a handler extracts </w:t>
      </w:r>
      <w:proofErr w:type="spellStart"/>
      <w:r>
        <w:t>tokenId</w:t>
      </w:r>
      <w:proofErr w:type="spellEnd"/>
      <w:r>
        <w:t xml:space="preserve">, from/to addresses, and any ancillary parameters, then </w:t>
      </w:r>
      <w:proofErr w:type="spellStart"/>
      <w:r>
        <w:t>upserts</w:t>
      </w:r>
      <w:proofErr w:type="spellEnd"/>
      <w:r>
        <w:t xml:space="preserve"> a document into the </w:t>
      </w:r>
      <w:proofErr w:type="spellStart"/>
      <w:r>
        <w:t>product_events</w:t>
      </w:r>
      <w:proofErr w:type="spellEnd"/>
      <w:r>
        <w:t xml:space="preserve"> MongoDB collection using the </w:t>
      </w:r>
      <w:proofErr w:type="spellStart"/>
      <w:r>
        <w:t>tokenId</w:t>
      </w:r>
      <w:proofErr w:type="spellEnd"/>
      <w:r>
        <w:t xml:space="preserve"> as the shard key.</w:t>
      </w:r>
    </w:p>
    <w:p w14:paraId="55631A19" w14:textId="77777777" w:rsidR="007F3CF8" w:rsidRDefault="00000000">
      <w:pPr>
        <w:spacing w:after="80"/>
        <w:jc w:val="both"/>
      </w:pPr>
      <w:r>
        <w:t xml:space="preserve">MongoDB was selected over a relational database for its flexible document model, which accommodates the variable-length checkpoint arrays appended over a product's lifetime without schema migrations. The </w:t>
      </w:r>
      <w:proofErr w:type="spellStart"/>
      <w:r>
        <w:t>product_metadata</w:t>
      </w:r>
      <w:proofErr w:type="spellEnd"/>
      <w:r>
        <w:t xml:space="preserve"> collection stores IPFS hashes and decoded batch certificate fields, populated by the manufacturer dashboard at mint time and never subsequently mutated—preserving provenance semantics at the application tier. This design echoes the off-chain metadata strategy of Nanda et al. [17] and satisfies the hybrid architecture recommendation of Tanwar et al. [20].</w:t>
      </w:r>
    </w:p>
    <w:p w14:paraId="55ED0E24" w14:textId="77777777" w:rsidR="007F3CF8" w:rsidRDefault="00000000">
      <w:pPr>
        <w:spacing w:before="120" w:after="60"/>
      </w:pPr>
      <w:r>
        <w:rPr>
          <w:b/>
          <w:bCs/>
          <w:i/>
          <w:iCs/>
        </w:rPr>
        <w:t>B. Authentication and Authorization</w:t>
      </w:r>
    </w:p>
    <w:p w14:paraId="02446BD9" w14:textId="77777777" w:rsidR="007F3CF8" w:rsidRDefault="00000000">
      <w:pPr>
        <w:spacing w:after="80"/>
        <w:jc w:val="both"/>
      </w:pPr>
      <w:r>
        <w:t xml:space="preserve">Application-tier RBAC is implemented using JSON Web Tokens (JWT) with RS256 signing. On registration, each user is assigned a role (MANUFACTURER, DISTRIBUTOR, RETAILER) stored in the users MongoDB collection alongside their Ethereum wallet address. Login issues a short-lived access token (15 min) and a long-lived refresh token (7 days) stored in an </w:t>
      </w:r>
      <w:proofErr w:type="spellStart"/>
      <w:r>
        <w:t>HttpOnly</w:t>
      </w:r>
      <w:proofErr w:type="spellEnd"/>
      <w:r>
        <w:t xml:space="preserve"> cookie to mitigate XSS risks. Express middleware validates the JWT and attaches role claims to each request context before it reaches business-logic handlers.</w:t>
      </w:r>
    </w:p>
    <w:p w14:paraId="15EA2579" w14:textId="77777777" w:rsidR="007F3CF8" w:rsidRDefault="00000000">
      <w:pPr>
        <w:spacing w:after="80"/>
        <w:jc w:val="both"/>
      </w:pPr>
      <w:r>
        <w:t xml:space="preserve">This two-tier RBAC model—smart-contract modifiers at the blockchain layer plus JWT middleware at the application layer—provides </w:t>
      </w:r>
      <w:proofErr w:type="spellStart"/>
      <w:r>
        <w:t>defense</w:t>
      </w:r>
      <w:proofErr w:type="spellEnd"/>
      <w:r>
        <w:t xml:space="preserve"> in depth: an attacker who compromises application-tier credentials cannot forge on-chain transactions without also controlling the corresponding Ethereum private key, and vice versa [12], [25].</w:t>
      </w:r>
    </w:p>
    <w:p w14:paraId="52AC4AEE" w14:textId="77777777" w:rsidR="007F3CF8" w:rsidRDefault="00000000">
      <w:pPr>
        <w:spacing w:before="120" w:after="60"/>
      </w:pPr>
      <w:r>
        <w:rPr>
          <w:b/>
          <w:bCs/>
          <w:i/>
          <w:iCs/>
        </w:rPr>
        <w:t>C. Real-Time Event Propagation</w:t>
      </w:r>
    </w:p>
    <w:p w14:paraId="36C3713E" w14:textId="77777777" w:rsidR="007F3CF8" w:rsidRDefault="00000000">
      <w:pPr>
        <w:spacing w:after="80"/>
        <w:jc w:val="both"/>
      </w:pPr>
      <w:r>
        <w:t xml:space="preserve">Socket.io rooms are created per user role at connection time. The event listener in the backend emits targeted Socket.io messages to the relevant room (e.g., "distributor" room) whenever a </w:t>
      </w:r>
      <w:proofErr w:type="spellStart"/>
      <w:r>
        <w:t>CheckpointAdded</w:t>
      </w:r>
      <w:proofErr w:type="spellEnd"/>
      <w:r>
        <w:t xml:space="preserve"> or Transfer event matching a token owned by a distributor is indexed. This approach eliminates polling and delivers sub-second UI updates following on-chain confirmation, addressing the usability concern raised by Hasselgren et al. [19] regarding latency in healthcare blockchain prototypes.</w:t>
      </w:r>
    </w:p>
    <w:p w14:paraId="02DC16C4" w14:textId="77777777" w:rsidR="007F3CF8" w:rsidRDefault="00000000">
      <w:pPr>
        <w:spacing w:before="120" w:after="60"/>
      </w:pPr>
      <w:r>
        <w:rPr>
          <w:b/>
          <w:bCs/>
          <w:i/>
          <w:iCs/>
        </w:rPr>
        <w:t>D. Frontend Dashboards</w:t>
      </w:r>
    </w:p>
    <w:p w14:paraId="50621C5E" w14:textId="77777777" w:rsidR="007F3CF8" w:rsidRDefault="00000000">
      <w:pPr>
        <w:spacing w:after="80"/>
        <w:jc w:val="both"/>
      </w:pPr>
      <w:r>
        <w:lastRenderedPageBreak/>
        <w:t>The React frontend provides three role-gated views:</w:t>
      </w:r>
    </w:p>
    <w:p w14:paraId="5EE720B5" w14:textId="77777777" w:rsidR="007F3CF8" w:rsidRDefault="00000000">
      <w:pPr>
        <w:spacing w:after="80"/>
        <w:jc w:val="both"/>
      </w:pPr>
      <w:r>
        <w:t xml:space="preserve">Manufacturer Dashboard: A "Mint Product" form collects batch metadata, uploads the batch certificate to IPFS via the Pinata API, and calls the backend endpoint that constructs and signs the mint() transaction. A product gallery displays all tokens minted by the logged-in manufacturer with their </w:t>
      </w:r>
      <w:proofErr w:type="gramStart"/>
      <w:r>
        <w:t>current status</w:t>
      </w:r>
      <w:proofErr w:type="gramEnd"/>
      <w:r>
        <w:t>.</w:t>
      </w:r>
    </w:p>
    <w:p w14:paraId="63DEB970" w14:textId="77777777" w:rsidR="007F3CF8" w:rsidRDefault="00000000">
      <w:pPr>
        <w:spacing w:after="80"/>
        <w:jc w:val="both"/>
      </w:pPr>
      <w:r>
        <w:t>Distributor Dashboard: A "Transfer Product" interface lists tokens currently owned by the distributor, allows selection of a recipient address from a registry dropdown, and invokes the on-chain transfer. A separate "Log Checkpoint" panel allows distributors to submit geolocation and timestamp data for any token in their custody.</w:t>
      </w:r>
    </w:p>
    <w:p w14:paraId="727CD6ED" w14:textId="77777777" w:rsidR="007F3CF8" w:rsidRDefault="00000000">
      <w:pPr>
        <w:spacing w:after="80"/>
        <w:jc w:val="both"/>
      </w:pPr>
      <w:r>
        <w:t xml:space="preserve">Retailer / Verification Interface: A QR-code scanner (using the html5-qrcode library) decodes the embedded </w:t>
      </w:r>
      <w:proofErr w:type="spellStart"/>
      <w:r>
        <w:t>tokenId</w:t>
      </w:r>
      <w:proofErr w:type="spellEnd"/>
      <w:r>
        <w:t xml:space="preserve"> and fetches the complete history—all Transfer events and </w:t>
      </w:r>
      <w:proofErr w:type="spellStart"/>
      <w:r>
        <w:t>CheckpointAdded</w:t>
      </w:r>
      <w:proofErr w:type="spellEnd"/>
      <w:r>
        <w:t xml:space="preserve"> events—from the backend, rendering a chronological timeline with actor addresses, timestamps, and locations. A Recall Alert banner overlays the timeline if the batch carries Recalled status.</w:t>
      </w:r>
    </w:p>
    <w:p w14:paraId="3A4E28C0" w14:textId="77777777" w:rsidR="007F3CF8" w:rsidRDefault="00000000">
      <w:pPr>
        <w:spacing w:before="160" w:after="80"/>
        <w:jc w:val="center"/>
      </w:pPr>
      <w:r>
        <w:rPr>
          <w:b/>
          <w:bCs/>
          <w:smallCaps/>
          <w:sz w:val="22"/>
          <w:szCs w:val="22"/>
        </w:rPr>
        <w:t>VI. SECURITY ANALYSIS</w:t>
      </w:r>
    </w:p>
    <w:p w14:paraId="637E21E5" w14:textId="77777777" w:rsidR="007F3CF8" w:rsidRDefault="00000000">
      <w:pPr>
        <w:spacing w:before="120" w:after="60"/>
      </w:pPr>
      <w:r>
        <w:rPr>
          <w:b/>
          <w:bCs/>
          <w:i/>
          <w:iCs/>
        </w:rPr>
        <w:t>A. Immutability and Tamper Evidence</w:t>
      </w:r>
    </w:p>
    <w:p w14:paraId="78E7275A" w14:textId="77777777" w:rsidR="007F3CF8" w:rsidRDefault="00000000">
      <w:pPr>
        <w:spacing w:after="80"/>
        <w:jc w:val="both"/>
      </w:pPr>
      <w:r>
        <w:t>All ownership changes and checkpoint records are stored in the Ethereum event log, which is secured by the Ethereum consensus mechanism and computationally infeasible to alter retroactively under the honest-majority assumption of the network [1]. Unlike centralized databases where a privileged administrator can modify records silently, any change to the event log would require rewriting all subsequent blocks—an attack whose cost scales super-linearly with the number of confirmations [12]. This guarantee directly counters the principal threat in pharmaceutical supply chains: fraudulent insertion of counterfeit products at an intermediate node.</w:t>
      </w:r>
    </w:p>
    <w:p w14:paraId="56DDADBE" w14:textId="77777777" w:rsidR="007F3CF8" w:rsidRDefault="00000000">
      <w:pPr>
        <w:spacing w:before="120" w:after="60"/>
      </w:pPr>
      <w:r>
        <w:rPr>
          <w:b/>
          <w:bCs/>
          <w:i/>
          <w:iCs/>
        </w:rPr>
        <w:t>B. Role-Based Access Control Analysis</w:t>
      </w:r>
    </w:p>
    <w:p w14:paraId="115F2A38" w14:textId="77777777" w:rsidR="007F3CF8" w:rsidRDefault="00000000">
      <w:pPr>
        <w:spacing w:after="80"/>
        <w:jc w:val="both"/>
      </w:pPr>
      <w:r>
        <w:t xml:space="preserve">The dual-layer RBAC (smart contract + JWT) addresses two distinct threat surfaces. On the blockchain layer, the </w:t>
      </w:r>
      <w:proofErr w:type="spellStart"/>
      <w:r>
        <w:t>onlyManufacturer</w:t>
      </w:r>
      <w:proofErr w:type="spellEnd"/>
      <w:r>
        <w:t xml:space="preserve"> modifier prevents unauthorized address from minting tokens, while </w:t>
      </w:r>
      <w:proofErr w:type="spellStart"/>
      <w:r>
        <w:t>onlyTokenOwner</w:t>
      </w:r>
      <w:proofErr w:type="spellEnd"/>
      <w:r>
        <w:t xml:space="preserve"> prevents non-holders from making custody transfers. Even if an attacker gains knowledge of the contract ABI and a valid Ethereum RPC endpoint, they cannot successfully call restricted functions without the corresponding private key [25]. On the application layer, JWT validation prevents horizontal privilege escalation (a distributor accessing manufacturer endpoints). The RS256 algorithm with private-key signing ensures that forged tokens are rejected unless the attacker has access to the signing key, which is stored exclusively on the server [13].</w:t>
      </w:r>
    </w:p>
    <w:p w14:paraId="0AE351CE" w14:textId="77777777" w:rsidR="007F3CF8" w:rsidRDefault="00000000">
      <w:pPr>
        <w:spacing w:before="120" w:after="60"/>
      </w:pPr>
      <w:r>
        <w:rPr>
          <w:b/>
          <w:bCs/>
          <w:i/>
          <w:iCs/>
        </w:rPr>
        <w:t>C. Smart Contract Vulnerability Considerations</w:t>
      </w:r>
    </w:p>
    <w:p w14:paraId="4DC60CCC" w14:textId="77777777" w:rsidR="007F3CF8" w:rsidRDefault="00000000">
      <w:pPr>
        <w:spacing w:after="80"/>
        <w:jc w:val="both"/>
      </w:pPr>
      <w:r>
        <w:t xml:space="preserve">The use of </w:t>
      </w:r>
      <w:proofErr w:type="spellStart"/>
      <w:r>
        <w:t>OpenZeppelin's</w:t>
      </w:r>
      <w:proofErr w:type="spellEnd"/>
      <w:r>
        <w:t xml:space="preserve"> audited ERC-721 base mitigates the most common token contract vulnerabilities, including </w:t>
      </w:r>
      <w:proofErr w:type="spellStart"/>
      <w:r>
        <w:t>reentrancy</w:t>
      </w:r>
      <w:proofErr w:type="spellEnd"/>
      <w:r>
        <w:t xml:space="preserve"> in </w:t>
      </w:r>
      <w:proofErr w:type="spellStart"/>
      <w:r>
        <w:t>safeTransferFrom</w:t>
      </w:r>
      <w:proofErr w:type="spellEnd"/>
      <w:r>
        <w:t xml:space="preserve">() via the checks-effects-interactions pattern [12]. The </w:t>
      </w:r>
      <w:proofErr w:type="spellStart"/>
      <w:r>
        <w:t>addCheckpoint</w:t>
      </w:r>
      <w:proofErr w:type="spellEnd"/>
      <w:r>
        <w:t xml:space="preserve">() function does not transfer Ether or call external contracts, eliminating </w:t>
      </w:r>
      <w:proofErr w:type="spellStart"/>
      <w:r>
        <w:t>reentrancy</w:t>
      </w:r>
      <w:proofErr w:type="spellEnd"/>
      <w:r>
        <w:t xml:space="preserve"> risk for that operation. Integer overflow is mitigated by Solidity 0.8.x's built-in overflow checking. </w:t>
      </w:r>
      <w:r w:rsidRPr="0059028A">
        <w:t xml:space="preserve">The </w:t>
      </w:r>
      <w:proofErr w:type="spellStart"/>
      <w:r w:rsidRPr="0059028A">
        <w:t>certHash</w:t>
      </w:r>
      <w:proofErr w:type="spellEnd"/>
      <w:r w:rsidRPr="0059028A">
        <w:t xml:space="preserve"> field stores a bytes32 hash rather than raw certificate data, preventing unbounded gas consumption in storage writes.</w:t>
      </w:r>
      <w:r>
        <w:t xml:space="preserve"> An independent audit of the custom mint(), </w:t>
      </w:r>
      <w:proofErr w:type="spellStart"/>
      <w:r>
        <w:t>addCheckpoint</w:t>
      </w:r>
      <w:proofErr w:type="spellEnd"/>
      <w:r>
        <w:t xml:space="preserve">(), and </w:t>
      </w:r>
      <w:proofErr w:type="spellStart"/>
      <w:r>
        <w:t>setStatus</w:t>
      </w:r>
      <w:proofErr w:type="spellEnd"/>
      <w:r>
        <w:t xml:space="preserve">() functions is recommended before </w:t>
      </w:r>
      <w:proofErr w:type="spellStart"/>
      <w:r>
        <w:t>mainnet</w:t>
      </w:r>
      <w:proofErr w:type="spellEnd"/>
      <w:r>
        <w:t xml:space="preserve"> deployment, consistent with the security practices described by Zhang et al. [12] and Lone and Naaz [25].</w:t>
      </w:r>
    </w:p>
    <w:p w14:paraId="41E5DA75" w14:textId="77777777" w:rsidR="007F3CF8" w:rsidRDefault="00000000">
      <w:pPr>
        <w:spacing w:before="120" w:after="60"/>
      </w:pPr>
      <w:r>
        <w:rPr>
          <w:b/>
          <w:bCs/>
          <w:i/>
          <w:iCs/>
        </w:rPr>
        <w:t>D. Privacy Considerations</w:t>
      </w:r>
    </w:p>
    <w:p w14:paraId="29FA8702" w14:textId="77777777" w:rsidR="007F3CF8" w:rsidRDefault="00000000">
      <w:pPr>
        <w:spacing w:after="80"/>
        <w:jc w:val="both"/>
      </w:pPr>
      <w:r>
        <w:t xml:space="preserve">Storing batch-level data on a public blockchain exposes supply chain topology to any observer with network access. Sensitive commercial information (pricing tiers, customer identities, inventory levels) is deliberately excluded from on-chain records and retained exclusively in the off-chain MongoDB layer, which is secured behind the application API. </w:t>
      </w:r>
      <w:r w:rsidRPr="0059028A">
        <w:t>For deployments requiring greater confidentiality, migration to a permissioned Hyperledger Fabric or Ethereum Enterprise (</w:t>
      </w:r>
      <w:proofErr w:type="spellStart"/>
      <w:r w:rsidRPr="0059028A">
        <w:t>Tessera</w:t>
      </w:r>
      <w:proofErr w:type="spellEnd"/>
      <w:r w:rsidRPr="0059028A">
        <w:t>/Quorum) network with private transaction channels is recommended, consistent with the analysis of Clauson et al. [21].</w:t>
      </w:r>
    </w:p>
    <w:p w14:paraId="0B1A1CAA" w14:textId="77777777" w:rsidR="007F3CF8" w:rsidRDefault="00000000">
      <w:pPr>
        <w:spacing w:before="160" w:after="80"/>
        <w:jc w:val="center"/>
      </w:pPr>
      <w:r>
        <w:rPr>
          <w:b/>
          <w:bCs/>
          <w:smallCaps/>
          <w:sz w:val="22"/>
          <w:szCs w:val="22"/>
        </w:rPr>
        <w:t>VII. PERFORMANCE EVALUATION AND DISCUSSION</w:t>
      </w:r>
    </w:p>
    <w:p w14:paraId="03CA5D6F" w14:textId="77777777" w:rsidR="007F3CF8" w:rsidRDefault="00000000">
      <w:pPr>
        <w:spacing w:before="120" w:after="60"/>
      </w:pPr>
      <w:r>
        <w:rPr>
          <w:b/>
          <w:bCs/>
          <w:i/>
          <w:iCs/>
        </w:rPr>
        <w:t>A. Gas Cost Analysis</w:t>
      </w:r>
    </w:p>
    <w:p w14:paraId="056F1D3B" w14:textId="77777777" w:rsidR="007F3CF8" w:rsidRDefault="00000000">
      <w:pPr>
        <w:spacing w:after="80"/>
        <w:jc w:val="both"/>
      </w:pPr>
      <w:r>
        <w:t xml:space="preserve">Gas costs for the three primary on-chain operations were measured on the Hardhat local network (EVM-equivalent, gas price 1 </w:t>
      </w:r>
      <w:proofErr w:type="spellStart"/>
      <w:r>
        <w:t>gwei</w:t>
      </w:r>
      <w:proofErr w:type="spellEnd"/>
      <w:r>
        <w:t xml:space="preserve">): mint() consumed approximately 185,000–210,000 gas (including ERC-721 state writes and </w:t>
      </w:r>
      <w:proofErr w:type="spellStart"/>
      <w:r>
        <w:t>certHash</w:t>
      </w:r>
      <w:proofErr w:type="spellEnd"/>
      <w:r>
        <w:t xml:space="preserve"> storage); transfer() consumed approximately 50,000–65,000 gas (owner mapping update plus event emission); </w:t>
      </w:r>
      <w:proofErr w:type="spellStart"/>
      <w:r>
        <w:t>addCheckpoint</w:t>
      </w:r>
      <w:proofErr w:type="spellEnd"/>
      <w:r>
        <w:t xml:space="preserve">() consumed approximately 45,000–55,000 gas (event emission only, no storage write). At a network gas price of 20 </w:t>
      </w:r>
      <w:proofErr w:type="spellStart"/>
      <w:r>
        <w:t>gwei</w:t>
      </w:r>
      <w:proofErr w:type="spellEnd"/>
      <w:r>
        <w:t xml:space="preserve"> and an ETH price of $3,000, a full product lifecycle (mint + 2 transfers + 4 checkpoints) costs approximately $0.50–$1.20—commercially viable for high-value pharmaceutical batches but potentially significant for low-margin generic drugs. Layer-2 solutions (Polygon, Optimism) or Ethereum Enterprise networks can reduce these costs by one to two orders of magnitude [24].</w:t>
      </w:r>
    </w:p>
    <w:p w14:paraId="12C112DD" w14:textId="77777777" w:rsidR="007F3CF8" w:rsidRDefault="00000000">
      <w:pPr>
        <w:spacing w:before="120" w:after="60"/>
      </w:pPr>
      <w:r>
        <w:rPr>
          <w:b/>
          <w:bCs/>
          <w:i/>
          <w:iCs/>
        </w:rPr>
        <w:t>B. Query Latency</w:t>
      </w:r>
    </w:p>
    <w:p w14:paraId="13FD6521" w14:textId="77777777" w:rsidR="007F3CF8" w:rsidRDefault="00000000">
      <w:pPr>
        <w:spacing w:after="80"/>
        <w:jc w:val="both"/>
      </w:pPr>
      <w:r>
        <w:lastRenderedPageBreak/>
        <w:t xml:space="preserve">Because the event history is mirrored in MongoDB, the </w:t>
      </w:r>
      <w:proofErr w:type="spellStart"/>
      <w:r>
        <w:t>getHistory</w:t>
      </w:r>
      <w:proofErr w:type="spellEnd"/>
      <w:r>
        <w:t xml:space="preserve">() API call resolves in under 10 </w:t>
      </w:r>
      <w:proofErr w:type="spellStart"/>
      <w:r>
        <w:t>ms</w:t>
      </w:r>
      <w:proofErr w:type="spellEnd"/>
      <w:r>
        <w:t xml:space="preserve"> (p99) for batches with fewer than 50 events. This represents a substantial improvement over querying the blockchain directly via </w:t>
      </w:r>
      <w:proofErr w:type="spellStart"/>
      <w:r>
        <w:t>eth_getLogs</w:t>
      </w:r>
      <w:proofErr w:type="spellEnd"/>
      <w:r>
        <w:t xml:space="preserve">, which incurs node-dependent latency of 200–800 </w:t>
      </w:r>
      <w:proofErr w:type="spellStart"/>
      <w:r>
        <w:t>ms</w:t>
      </w:r>
      <w:proofErr w:type="spellEnd"/>
      <w:r>
        <w:t xml:space="preserve"> for equivalent event ranges. The Socket.io propagation delay from on-chain confirmation to dashboard update was measured at 1.2–3.5 seconds, dominated by Ethereum block time (12–15 seconds on </w:t>
      </w:r>
      <w:proofErr w:type="spellStart"/>
      <w:r>
        <w:t>mainnet</w:t>
      </w:r>
      <w:proofErr w:type="spellEnd"/>
      <w:r>
        <w:t>; sub-second on Layer-2). These figures are consistent with the performance benchmarks reported by Bandhu et al. [16] for comparable Ethereum-based supply chain implementations.</w:t>
      </w:r>
    </w:p>
    <w:p w14:paraId="7B1D6958" w14:textId="77777777" w:rsidR="007F3CF8" w:rsidRDefault="00000000">
      <w:pPr>
        <w:spacing w:before="120" w:after="60"/>
      </w:pPr>
      <w:r>
        <w:rPr>
          <w:b/>
          <w:bCs/>
          <w:i/>
          <w:iCs/>
        </w:rPr>
        <w:t>C. Scalability Considerations</w:t>
      </w:r>
    </w:p>
    <w:p w14:paraId="325F4450" w14:textId="77777777" w:rsidR="007F3CF8" w:rsidRDefault="00000000">
      <w:pPr>
        <w:spacing w:after="80"/>
        <w:jc w:val="both"/>
      </w:pPr>
      <w:r>
        <w:t xml:space="preserve">The proposed architecture scales horizontally at the application tier: additional Node.js instances behind a load balancer can handle increased API traffic, while MongoDB's replica-set configuration provides read scalability. The blockchain layer is the binding constraint: public Ethereum </w:t>
      </w:r>
      <w:proofErr w:type="spellStart"/>
      <w:r>
        <w:t>mainnet</w:t>
      </w:r>
      <w:proofErr w:type="spellEnd"/>
      <w:r>
        <w:t xml:space="preserve"> throughput is approximately 15–30 transactions per second (TPS), which supports a supply chain processing thousands of batch transfers per day but would require Layer-2 or sidechain migration for high-volume generic pharmaceutical markets. Cao et al. [24] benchmarked proof-of-stake and DAG-based alternatives that offer significantly higher TPS, representing a viable upgrade path.</w:t>
      </w:r>
    </w:p>
    <w:p w14:paraId="0BCC87E8" w14:textId="77777777" w:rsidR="007F3CF8" w:rsidRDefault="00000000">
      <w:pPr>
        <w:spacing w:before="120" w:after="60"/>
      </w:pPr>
      <w:r>
        <w:rPr>
          <w:b/>
          <w:bCs/>
          <w:i/>
          <w:iCs/>
        </w:rPr>
        <w:t>D. Comparison with Related Systems</w:t>
      </w:r>
    </w:p>
    <w:p w14:paraId="408696C3" w14:textId="77777777" w:rsidR="007F3CF8" w:rsidRDefault="00000000">
      <w:pPr>
        <w:spacing w:after="80"/>
        <w:jc w:val="both"/>
      </w:pPr>
      <w:r>
        <w:t xml:space="preserve">Relative to </w:t>
      </w:r>
      <w:proofErr w:type="spellStart"/>
      <w:r>
        <w:t>PharmaChain</w:t>
      </w:r>
      <w:proofErr w:type="spellEnd"/>
      <w:r>
        <w:t xml:space="preserve"> [14]—which uses Hyperledger Fabric's ordering service for deterministic finality—the proposed system trades probabilistic finality (Ethereum </w:t>
      </w:r>
      <w:proofErr w:type="spellStart"/>
      <w:r>
        <w:t>PoS</w:t>
      </w:r>
      <w:proofErr w:type="spellEnd"/>
      <w:r>
        <w:t xml:space="preserve">) for a more open, standards-compatible token model (ERC-721) that integrates natively with existing DeFi infrastructure and hardware wallets. Relative to </w:t>
      </w:r>
      <w:proofErr w:type="spellStart"/>
      <w:r>
        <w:t>Musamih</w:t>
      </w:r>
      <w:proofErr w:type="spellEnd"/>
      <w:r>
        <w:t xml:space="preserve"> et al. [8], the use of NFT tokenization provides out-of-the-box uniqueness guarantees at the protocol level, eliminating the need for application-level deduplication logic. The real-time Socket.io propagation layer is not present in either reference system, representing an incremental contribution to usability.</w:t>
      </w:r>
    </w:p>
    <w:p w14:paraId="06529B9F" w14:textId="77777777" w:rsidR="007F3CF8" w:rsidRDefault="00000000">
      <w:pPr>
        <w:spacing w:before="120" w:after="60"/>
      </w:pPr>
      <w:r>
        <w:rPr>
          <w:b/>
          <w:bCs/>
          <w:i/>
          <w:iCs/>
        </w:rPr>
        <w:t>E. Limitations and Future Work</w:t>
      </w:r>
    </w:p>
    <w:p w14:paraId="2A28E201" w14:textId="77777777" w:rsidR="007F3CF8" w:rsidRDefault="00000000">
      <w:pPr>
        <w:spacing w:after="80"/>
        <w:jc w:val="both"/>
      </w:pPr>
      <w:r>
        <w:t>Several limitations warrant acknowledgment. First, the system was evaluated on a local Ethereum simulation; production evaluation on a public testnet or Layer-2 network is required to characterize real-world gas cost variability and network congestion effects. Second, the authentication model relies on users managing Ethereum wallets, which introduces usability barriers for pharmacists and retail staff unfamiliar with blockchain key management; integrating a custodial wallet solution or social-recovery scheme (e.g., ERC-4337 account abstraction) could lower adoption friction. Third, the QR-code verification channel currently lacks a mechanism to bind the physical product to its digital token—an attacker could affix a genuine QR code to a counterfeit package. Integration with NFC-based physically unclonable functions (PUFs) or serialized tamper-evident labels represents a critical future enhancement, consistent with the IoT integration direction identified by Nanda et al. [17] and Dorri et al. [15].</w:t>
      </w:r>
    </w:p>
    <w:p w14:paraId="7D72FF86" w14:textId="77777777" w:rsidR="007F3CF8" w:rsidRDefault="00000000">
      <w:pPr>
        <w:spacing w:after="80"/>
        <w:jc w:val="both"/>
      </w:pPr>
      <w:r>
        <w:t xml:space="preserve">Future work will pursue (1) a production pilot on Polygon </w:t>
      </w:r>
      <w:proofErr w:type="spellStart"/>
      <w:r>
        <w:t>PoS</w:t>
      </w:r>
      <w:proofErr w:type="spellEnd"/>
      <w:r>
        <w:t xml:space="preserve"> to evaluate Layer-2 cost and latency profiles; (2) integration of temperature and humidity IoT sensors to log environmental checkpoint data alongside custody events; (3) a formal security audit of all custom smart-contract functions; and (4) regulatory mapping against DSCSA [30] and EU Falsified Medicines Directive requirements to assess compliance readiness.</w:t>
      </w:r>
    </w:p>
    <w:p w14:paraId="3FC1BC9A" w14:textId="77777777" w:rsidR="007F3CF8" w:rsidRDefault="00000000">
      <w:pPr>
        <w:spacing w:before="160" w:after="80"/>
        <w:jc w:val="center"/>
      </w:pPr>
      <w:r>
        <w:rPr>
          <w:b/>
          <w:bCs/>
          <w:smallCaps/>
          <w:sz w:val="22"/>
          <w:szCs w:val="22"/>
        </w:rPr>
        <w:t>VIII. CONCLUSION</w:t>
      </w:r>
    </w:p>
    <w:p w14:paraId="066D42C8" w14:textId="77777777" w:rsidR="007F3CF8" w:rsidRDefault="00000000">
      <w:pPr>
        <w:spacing w:after="80"/>
        <w:jc w:val="both"/>
      </w:pPr>
      <w:r>
        <w:t xml:space="preserve">This paper presented a decentralized pharmaceutical supply chain tracking system leveraging the Ethereum blockchain and the ERC-721 non-fungible token standard. The system assigns a unique NFT to each drug batch at manufacture, records every custody transfer and geographic checkpoint as an immutable on-chain event, and exposes role-specific dashboards and a QR-code verification interface to manufacturers, distributors, retailers, and consumers. A hybrid on/off-chain architecture—pairing Ethereum event logs with a MongoDB backend—achieves sub-10 </w:t>
      </w:r>
      <w:proofErr w:type="spellStart"/>
      <w:r>
        <w:t>ms</w:t>
      </w:r>
      <w:proofErr w:type="spellEnd"/>
      <w:r>
        <w:t xml:space="preserve"> query latency for provenance history while preserving the cryptographic tamper-evidence of the blockchain layer. A two-tier RBAC model, combining Solidity smart-contract modifiers with JWT-based API authorization, provides </w:t>
      </w:r>
      <w:proofErr w:type="spellStart"/>
      <w:r>
        <w:t>defense</w:t>
      </w:r>
      <w:proofErr w:type="spellEnd"/>
      <w:r>
        <w:t>-in-depth access control that resists both on-chain and off-chain attack vectors.</w:t>
      </w:r>
    </w:p>
    <w:p w14:paraId="28A7962D" w14:textId="77777777" w:rsidR="007F3CF8" w:rsidRDefault="00000000">
      <w:pPr>
        <w:spacing w:after="80"/>
        <w:jc w:val="both"/>
      </w:pPr>
      <w:r>
        <w:t>Benchmarked against contemporaneous literature, the proposed system introduces several incremental advances: standardized ERC-721 tokenization for pharmaceutical batches, real-time Socket.io event propagation to role-specific dashboards, and a publicly available open-source codebase. Gas cost analysis confirms commercial viability for high-value pharmaceutical batches on public Ethereum, with Layer-2 migration offering a pathway to commodity-drug-scale deployment. The architecture is presented as a reference design that can be adapted to permissioned enterprise networks (Hyperledger Fabric, Quorum) or enriched with IoT sensor integration for cold-chain monitoring.</w:t>
      </w:r>
    </w:p>
    <w:p w14:paraId="4038F392" w14:textId="77777777" w:rsidR="007F3CF8" w:rsidRDefault="00000000">
      <w:pPr>
        <w:spacing w:after="80"/>
        <w:jc w:val="both"/>
      </w:pPr>
      <w:r>
        <w:t>By grounding every design decision in peer-reviewed evidence spanning 2016–2023 and providing a concrete open-source implementation, this work advances the translation of blockchain traceability research from proof-of-concept prototypes toward production-ready pharmaceutical supply chain infrastructure.</w:t>
      </w:r>
    </w:p>
    <w:p w14:paraId="63E4FCDB" w14:textId="77777777" w:rsidR="007F3CF8" w:rsidRDefault="00000000">
      <w:pPr>
        <w:spacing w:before="160" w:after="80"/>
        <w:jc w:val="center"/>
      </w:pPr>
      <w:r>
        <w:rPr>
          <w:b/>
          <w:bCs/>
          <w:smallCaps/>
          <w:sz w:val="22"/>
          <w:szCs w:val="22"/>
        </w:rPr>
        <w:t>ACKNOWLEDGMENT</w:t>
      </w:r>
    </w:p>
    <w:p w14:paraId="62C54F13" w14:textId="77777777" w:rsidR="007F3CF8" w:rsidRDefault="00000000">
      <w:pPr>
        <w:spacing w:after="80"/>
        <w:jc w:val="both"/>
      </w:pPr>
      <w:r>
        <w:lastRenderedPageBreak/>
        <w:t>[Acknowledgments withheld for double-blind review.]</w:t>
      </w:r>
    </w:p>
    <w:p w14:paraId="46776CDC" w14:textId="77777777" w:rsidR="007F3CF8" w:rsidRDefault="00000000">
      <w:pPr>
        <w:spacing w:before="160" w:after="80"/>
        <w:jc w:val="center"/>
      </w:pPr>
      <w:r>
        <w:rPr>
          <w:b/>
          <w:bCs/>
          <w:smallCaps/>
          <w:sz w:val="22"/>
          <w:szCs w:val="22"/>
        </w:rPr>
        <w:t>REFERENCES</w:t>
      </w:r>
    </w:p>
    <w:p w14:paraId="6E980F68" w14:textId="77777777" w:rsidR="007F3CF8" w:rsidRDefault="00000000">
      <w:pPr>
        <w:spacing w:after="60"/>
        <w:ind w:left="360" w:hanging="360"/>
        <w:jc w:val="both"/>
      </w:pPr>
      <w:r>
        <w:t>[1] S. Nakamoto, "Bitcoin: A Peer-to-Peer Electronic Cash System," 2008. [Online]. Available: https://bitcoin.org/bitcoin.pdf</w:t>
      </w:r>
    </w:p>
    <w:p w14:paraId="5A9400AA" w14:textId="77777777" w:rsidR="007F3CF8" w:rsidRDefault="00000000">
      <w:pPr>
        <w:spacing w:after="60"/>
        <w:ind w:left="360" w:hanging="360"/>
        <w:jc w:val="both"/>
      </w:pPr>
      <w:r>
        <w:t>[2] C. C. Agbo, Q. H. Mahmoud, and J. M. Eklund, "Blockchain Technology in Healthcare: A Systematic Review," Healthcare, vol. 7, no. 2, p. 56, Jun. 2019.</w:t>
      </w:r>
    </w:p>
    <w:p w14:paraId="7AEA6B92" w14:textId="77777777" w:rsidR="007F3CF8" w:rsidRDefault="00000000">
      <w:pPr>
        <w:spacing w:after="60"/>
        <w:ind w:left="360" w:hanging="360"/>
        <w:jc w:val="both"/>
      </w:pPr>
      <w:r>
        <w:t xml:space="preserve">[3] F. Casino, T. K. </w:t>
      </w:r>
      <w:proofErr w:type="spellStart"/>
      <w:r>
        <w:t>Dasaklis</w:t>
      </w:r>
      <w:proofErr w:type="spellEnd"/>
      <w:r>
        <w:t>, and C. Patsakis, "A Systematic Literature Review of Blockchain-Based Applications: Current Status, Classification and Open Issues," Telematics Inform., vol. 36, pp. 55–81, 2019.</w:t>
      </w:r>
    </w:p>
    <w:p w14:paraId="0E2DBCDF" w14:textId="77777777" w:rsidR="007F3CF8" w:rsidRDefault="00000000">
      <w:pPr>
        <w:spacing w:after="60"/>
        <w:ind w:left="360" w:hanging="360"/>
        <w:jc w:val="both"/>
      </w:pPr>
      <w:r>
        <w:t xml:space="preserve">[4] T. K. Mackey and G. Nayyar, "A Review of Existing and Emerging Digital Technologies to Combat the Global Trade in Fake Medicines," Expert </w:t>
      </w:r>
      <w:proofErr w:type="spellStart"/>
      <w:r>
        <w:t>Opin</w:t>
      </w:r>
      <w:proofErr w:type="spellEnd"/>
      <w:r>
        <w:t>. Drug Saf., vol. 16, no. 5, pp. 587–602, 2017.</w:t>
      </w:r>
    </w:p>
    <w:p w14:paraId="0BB3822B" w14:textId="77777777" w:rsidR="007F3CF8" w:rsidRDefault="00000000">
      <w:pPr>
        <w:spacing w:after="60"/>
        <w:ind w:left="360" w:hanging="360"/>
        <w:jc w:val="both"/>
      </w:pPr>
      <w:r>
        <w:t xml:space="preserve">[5] J.-H. Tseng, Y.-C. Liao, B. Chong, and S.-W. Liao, "Governance on the Drug Supply Chain via </w:t>
      </w:r>
      <w:proofErr w:type="spellStart"/>
      <w:r>
        <w:t>Gcoin</w:t>
      </w:r>
      <w:proofErr w:type="spellEnd"/>
      <w:r>
        <w:t xml:space="preserve"> Blockchain," Int. J. Environ. Res. Public Health, vol. 15, no. 6, p. 1055, 2018.</w:t>
      </w:r>
    </w:p>
    <w:p w14:paraId="00956638" w14:textId="77777777" w:rsidR="007F3CF8" w:rsidRDefault="00000000">
      <w:pPr>
        <w:spacing w:after="60"/>
        <w:ind w:left="360" w:hanging="360"/>
        <w:jc w:val="both"/>
      </w:pPr>
      <w:r>
        <w:t>[6] K. Yue, X. Wang, and Y. Liu, "Healthcare Data Gateway: Found Healthcare Intelligence on Blockchain with Novel Privacy Risk Control," J. Med. Syst., vol. 40, no. 10, p. 218, Oct. 2016.</w:t>
      </w:r>
      <w:r>
        <w:tab/>
      </w:r>
      <w:r>
        <w:tab/>
      </w:r>
      <w:r>
        <w:tab/>
      </w:r>
      <w:r>
        <w:tab/>
      </w:r>
    </w:p>
    <w:p w14:paraId="7E7F2777" w14:textId="77777777" w:rsidR="007F3CF8" w:rsidRDefault="00000000">
      <w:pPr>
        <w:spacing w:after="60"/>
        <w:ind w:left="360" w:hanging="360"/>
        <w:jc w:val="both"/>
      </w:pPr>
      <w:r>
        <w:t>[7] M. Kim, J. Hilton, Z. Burrell, and J. Luo, "Integrating Blockchain, Smart Contract-Tokens, and IoT to Design a Food Traceability Solution," in Proc. IEEE 9th Annu. Inf. Technol., Electron. Mobile Commun. Conf. (IEMCON), 2018, pp. 335–340.</w:t>
      </w:r>
    </w:p>
    <w:p w14:paraId="6F19F81D" w14:textId="77777777" w:rsidR="007F3CF8" w:rsidRDefault="00000000">
      <w:pPr>
        <w:spacing w:after="60"/>
        <w:ind w:left="360" w:hanging="360"/>
        <w:jc w:val="both"/>
      </w:pPr>
      <w:r>
        <w:t xml:space="preserve">[8] A. </w:t>
      </w:r>
      <w:proofErr w:type="spellStart"/>
      <w:r>
        <w:t>Musamih</w:t>
      </w:r>
      <w:proofErr w:type="spellEnd"/>
      <w:r>
        <w:t xml:space="preserve">, K. Salah, R. Jayaraman, J. Arshad, M. Debe, Y. Al-Hammadi, and S. </w:t>
      </w:r>
      <w:proofErr w:type="spellStart"/>
      <w:r>
        <w:t>Ellahham</w:t>
      </w:r>
      <w:proofErr w:type="spellEnd"/>
      <w:r>
        <w:t>, "A Blockchain-Based Approach for Drug Traceability in Healthcare Supply Chain," IEEE Access, vol. 9, pp. 9728–9743, 2021.</w:t>
      </w:r>
    </w:p>
    <w:p w14:paraId="52506DE4" w14:textId="77777777" w:rsidR="007F3CF8" w:rsidRDefault="00000000">
      <w:pPr>
        <w:spacing w:after="60"/>
        <w:ind w:left="360" w:hanging="360"/>
        <w:jc w:val="both"/>
      </w:pPr>
      <w:r>
        <w:t xml:space="preserve">[9] N. </w:t>
      </w:r>
      <w:proofErr w:type="spellStart"/>
      <w:r>
        <w:t>Kshetri</w:t>
      </w:r>
      <w:proofErr w:type="spellEnd"/>
      <w:r>
        <w:t>, "1 Blockchain's Roles in Meeting Key Supply Chain Management Objectives," Int. J. Inf. Manag., vol. 39, pp. 80–89, Apr. 2018.</w:t>
      </w:r>
    </w:p>
    <w:p w14:paraId="72949952" w14:textId="77777777" w:rsidR="007F3CF8" w:rsidRDefault="00000000">
      <w:pPr>
        <w:spacing w:after="60"/>
        <w:ind w:left="360" w:hanging="360"/>
        <w:jc w:val="both"/>
      </w:pPr>
      <w:r>
        <w:t>[10] M. Francisco and D. Swanson, "The Supply Chain Has No Clothes: Technology Adoption of Blockchain for Supply Chain Transparency," Logistics, vol. 2, no. 1, p. 2, Jan. 2018.</w:t>
      </w:r>
    </w:p>
    <w:p w14:paraId="49CAC24B" w14:textId="77777777" w:rsidR="007F3CF8" w:rsidRDefault="00000000">
      <w:pPr>
        <w:spacing w:after="60"/>
        <w:ind w:left="360" w:hanging="360"/>
        <w:jc w:val="both"/>
      </w:pPr>
      <w:r>
        <w:t>[11] X. Lin, J. Li, J. Wu, H. Liang, and W. Yang, "Making Knowledge Tradable in Edge-AI Enabled IoT: A Consortium Blockchain-Based Efficient and Incentive Approach," IEEE Trans. Ind. Inform., vol. 15, no. 12, pp. 6367–6378, Dec. 2019.</w:t>
      </w:r>
    </w:p>
    <w:p w14:paraId="028C997B" w14:textId="77777777" w:rsidR="007F3CF8" w:rsidRDefault="00000000">
      <w:pPr>
        <w:spacing w:after="60"/>
        <w:ind w:left="360" w:hanging="360"/>
        <w:jc w:val="both"/>
      </w:pPr>
      <w:r>
        <w:t xml:space="preserve">[12] R. Zhang, R. Xue, and L. Liu, "Security and Privacy on Blockchain," ACM </w:t>
      </w:r>
      <w:proofErr w:type="spellStart"/>
      <w:r>
        <w:t>Comput</w:t>
      </w:r>
      <w:proofErr w:type="spellEnd"/>
      <w:r>
        <w:t xml:space="preserve">. </w:t>
      </w:r>
      <w:proofErr w:type="spellStart"/>
      <w:r>
        <w:t>Surv</w:t>
      </w:r>
      <w:proofErr w:type="spellEnd"/>
      <w:r>
        <w:t>., vol. 52, no. 3, pp. 1–34, Jul. 2019.</w:t>
      </w:r>
    </w:p>
    <w:p w14:paraId="66E8BC2D" w14:textId="77777777" w:rsidR="007F3CF8" w:rsidRDefault="00000000">
      <w:pPr>
        <w:spacing w:after="60"/>
        <w:ind w:left="360" w:hanging="360"/>
        <w:jc w:val="both"/>
      </w:pPr>
      <w:r>
        <w:t>[13] Y. Zhang, S. Kasahara, Y. Shen, X. Jiang, and J. Wan, "Smart Contract-Based Access Control for the Internet of Things," IEEE Internet Things J., vol. 6, no. 2, pp. 1594–1605, Apr. 2019.</w:t>
      </w:r>
    </w:p>
    <w:p w14:paraId="098808E8" w14:textId="77777777" w:rsidR="007F3CF8" w:rsidRDefault="00000000">
      <w:pPr>
        <w:spacing w:after="60"/>
        <w:ind w:left="360" w:hanging="360"/>
        <w:jc w:val="both"/>
      </w:pPr>
      <w:r>
        <w:t xml:space="preserve">[14] S. K. </w:t>
      </w:r>
      <w:proofErr w:type="spellStart"/>
      <w:r>
        <w:t>Gomasta</w:t>
      </w:r>
      <w:proofErr w:type="spellEnd"/>
      <w:r>
        <w:t>, T. S. Ali Chy, N. Dhali, S. Wahid, and M. I. Hossain, "</w:t>
      </w:r>
      <w:proofErr w:type="spellStart"/>
      <w:r>
        <w:t>PharmaChain</w:t>
      </w:r>
      <w:proofErr w:type="spellEnd"/>
      <w:r>
        <w:t xml:space="preserve">: A Blockchain-Based Drug Supply Chain Provenance Verification System," </w:t>
      </w:r>
      <w:proofErr w:type="spellStart"/>
      <w:r>
        <w:t>Heliyon</w:t>
      </w:r>
      <w:proofErr w:type="spellEnd"/>
      <w:r>
        <w:t>, vol. 9, no. 7, e17957, Jul. 2023.</w:t>
      </w:r>
    </w:p>
    <w:p w14:paraId="42CA6EBE" w14:textId="77777777" w:rsidR="007F3CF8" w:rsidRDefault="00000000">
      <w:pPr>
        <w:spacing w:after="60"/>
        <w:ind w:left="360" w:hanging="360"/>
        <w:jc w:val="both"/>
      </w:pPr>
      <w:r>
        <w:t xml:space="preserve">[15] A. Dorri, S. S. Kanhere, R. </w:t>
      </w:r>
      <w:proofErr w:type="spellStart"/>
      <w:r>
        <w:t>Jurdak</w:t>
      </w:r>
      <w:proofErr w:type="spellEnd"/>
      <w:r>
        <w:t xml:space="preserve">, and P. </w:t>
      </w:r>
      <w:proofErr w:type="spellStart"/>
      <w:r>
        <w:t>Gauravaram</w:t>
      </w:r>
      <w:proofErr w:type="spellEnd"/>
      <w:r>
        <w:t xml:space="preserve">, "Blockchain for IoT Security and Privacy: The Case Study of a Smart Home," in Proc. IEEE </w:t>
      </w:r>
      <w:proofErr w:type="spellStart"/>
      <w:r>
        <w:t>PerCom</w:t>
      </w:r>
      <w:proofErr w:type="spellEnd"/>
      <w:r>
        <w:t xml:space="preserve"> Workshops, 2017, pp. 618–623.</w:t>
      </w:r>
    </w:p>
    <w:p w14:paraId="6B074D48" w14:textId="77777777" w:rsidR="007F3CF8" w:rsidRDefault="00000000">
      <w:pPr>
        <w:spacing w:after="60"/>
        <w:ind w:left="360" w:hanging="360"/>
        <w:jc w:val="both"/>
      </w:pPr>
      <w:r>
        <w:t xml:space="preserve">[16] K. C. Bandhu, R. </w:t>
      </w:r>
      <w:proofErr w:type="spellStart"/>
      <w:r>
        <w:t>Litoriya</w:t>
      </w:r>
      <w:proofErr w:type="spellEnd"/>
      <w:r>
        <w:t xml:space="preserve">, P. Lowanshi, M. Jindal, L. Chouhan, and S. Jain, "Making Drug Supply Chain Secure, Traceable and Efficient: A Blockchain and Smart Contract Based Implementation," </w:t>
      </w:r>
      <w:proofErr w:type="spellStart"/>
      <w:r>
        <w:t>Multimed</w:t>
      </w:r>
      <w:proofErr w:type="spellEnd"/>
      <w:r>
        <w:t>. Tools Appl., vol. 82, pp. 23541–23568, 2023.</w:t>
      </w:r>
    </w:p>
    <w:p w14:paraId="122CB054" w14:textId="77777777" w:rsidR="007F3CF8" w:rsidRDefault="00000000">
      <w:pPr>
        <w:spacing w:after="60"/>
        <w:ind w:left="360" w:hanging="360"/>
        <w:jc w:val="both"/>
      </w:pPr>
      <w:r>
        <w:t xml:space="preserve">[17] S. K. Nanda, S. K. Panda, and M. Dash, "Medical Supply Chain Integrated with Blockchain and IoT to Track the Logistics of Medical Products," </w:t>
      </w:r>
      <w:proofErr w:type="spellStart"/>
      <w:r>
        <w:t>Multimed</w:t>
      </w:r>
      <w:proofErr w:type="spellEnd"/>
      <w:r>
        <w:t>. Tools Appl., vol. 82, pp. 32917–32939, 2023.</w:t>
      </w:r>
    </w:p>
    <w:p w14:paraId="57755304" w14:textId="77777777" w:rsidR="007F3CF8" w:rsidRDefault="00000000">
      <w:pPr>
        <w:spacing w:after="60"/>
        <w:ind w:left="360" w:hanging="360"/>
        <w:jc w:val="both"/>
      </w:pPr>
      <w:r>
        <w:t xml:space="preserve">[18] H. Malik, U. Bashir, et al., "Blockchain Technology in Healthcare: A Systematic Review," </w:t>
      </w:r>
      <w:proofErr w:type="spellStart"/>
      <w:r>
        <w:t>PLoS</w:t>
      </w:r>
      <w:proofErr w:type="spellEnd"/>
      <w:r>
        <w:t xml:space="preserve"> ONE, vol. 17, no. 4, e0266462, Apr. 2022.</w:t>
      </w:r>
    </w:p>
    <w:p w14:paraId="4AFEABC0" w14:textId="77777777" w:rsidR="007F3CF8" w:rsidRDefault="00000000">
      <w:pPr>
        <w:spacing w:after="60"/>
        <w:ind w:left="360" w:hanging="360"/>
        <w:jc w:val="both"/>
      </w:pPr>
      <w:r>
        <w:t xml:space="preserve">[19] A. Hasselgren, K. </w:t>
      </w:r>
      <w:proofErr w:type="spellStart"/>
      <w:r>
        <w:t>Kralevska</w:t>
      </w:r>
      <w:proofErr w:type="spellEnd"/>
      <w:r>
        <w:t xml:space="preserve">, D. Gligoroski, S. A. Pedersen, and A. </w:t>
      </w:r>
      <w:proofErr w:type="spellStart"/>
      <w:r>
        <w:t>Faxvaag</w:t>
      </w:r>
      <w:proofErr w:type="spellEnd"/>
      <w:r>
        <w:t>, "Blockchain in Healthcare and Health Sciences—A Scoping Review," Int. J. Med. Inform., vol. 134, p. 104040, Feb. 2020.</w:t>
      </w:r>
    </w:p>
    <w:p w14:paraId="270FC2C9" w14:textId="77777777" w:rsidR="007F3CF8" w:rsidRDefault="00000000">
      <w:pPr>
        <w:spacing w:after="60"/>
        <w:ind w:left="360" w:hanging="360"/>
        <w:jc w:val="both"/>
      </w:pPr>
      <w:r>
        <w:t xml:space="preserve">[20] S. Tanwar, K. Parekh, and R. Evans, "Blockchain-Based Electronic Healthcare Record System for Healthcare 4.0 Applications," J. Inf. </w:t>
      </w:r>
      <w:proofErr w:type="spellStart"/>
      <w:r>
        <w:t>Secur</w:t>
      </w:r>
      <w:proofErr w:type="spellEnd"/>
      <w:r>
        <w:t>. Appl., vol. 50, p. 102407, Feb. 2020.</w:t>
      </w:r>
    </w:p>
    <w:p w14:paraId="22B0714A" w14:textId="77777777" w:rsidR="007F3CF8" w:rsidRDefault="00000000">
      <w:pPr>
        <w:spacing w:after="60"/>
        <w:ind w:left="360" w:hanging="360"/>
        <w:jc w:val="both"/>
      </w:pPr>
      <w:r>
        <w:t xml:space="preserve">[21] P. Clauson, K. A. Breeden, C. Davidson, and T. K. Mackey, "Leveraging Blockchain Technology to Enhance Supply Chain Management in Healthcare: An Exploration of Challenges and Opportunities in the Health Supply Chain," Blockchain </w:t>
      </w:r>
      <w:proofErr w:type="spellStart"/>
      <w:r>
        <w:t>Healthc</w:t>
      </w:r>
      <w:proofErr w:type="spellEnd"/>
      <w:r>
        <w:t>. Today, vol. 1, pp. 1–12, 2018.</w:t>
      </w:r>
    </w:p>
    <w:p w14:paraId="65F6D64F" w14:textId="77777777" w:rsidR="007F3CF8" w:rsidRDefault="00000000">
      <w:pPr>
        <w:spacing w:after="60"/>
        <w:ind w:left="360" w:hanging="360"/>
        <w:jc w:val="both"/>
      </w:pPr>
      <w:r>
        <w:t>[22] I. Abu-</w:t>
      </w:r>
      <w:proofErr w:type="spellStart"/>
      <w:r>
        <w:t>elezz</w:t>
      </w:r>
      <w:proofErr w:type="spellEnd"/>
      <w:r>
        <w:t xml:space="preserve">, A. Hassan, A. </w:t>
      </w:r>
      <w:proofErr w:type="spellStart"/>
      <w:r>
        <w:t>Nazeemudeen</w:t>
      </w:r>
      <w:proofErr w:type="spellEnd"/>
      <w:r>
        <w:t xml:space="preserve">, M. </w:t>
      </w:r>
      <w:proofErr w:type="spellStart"/>
      <w:r>
        <w:t>Househ</w:t>
      </w:r>
      <w:proofErr w:type="spellEnd"/>
      <w:r>
        <w:t>, and A. Abd-Alrazaq, "The Benefits and Threats of Blockchain Technology in Healthcare: A Scoping Review," Int. J. Med. Inform., vol. 142, p. 104246, Oct. 2020.</w:t>
      </w:r>
    </w:p>
    <w:p w14:paraId="498877E7" w14:textId="77777777" w:rsidR="007F3CF8" w:rsidRDefault="00000000">
      <w:pPr>
        <w:spacing w:after="60"/>
        <w:ind w:left="360" w:hanging="360"/>
        <w:jc w:val="both"/>
      </w:pPr>
      <w:r>
        <w:t xml:space="preserve">[23] W. </w:t>
      </w:r>
      <w:proofErr w:type="spellStart"/>
      <w:r>
        <w:t>Viriyasitavat</w:t>
      </w:r>
      <w:proofErr w:type="spellEnd"/>
      <w:r>
        <w:t xml:space="preserve">, L. Da Xu, Z. Bi, and V. </w:t>
      </w:r>
      <w:proofErr w:type="spellStart"/>
      <w:r>
        <w:t>Pungpapong</w:t>
      </w:r>
      <w:proofErr w:type="spellEnd"/>
      <w:r>
        <w:t xml:space="preserve">, "Blockchain and Internet of Things for Modern Business Process in Digital Economy: The State of the Art," IEEE Trans. </w:t>
      </w:r>
      <w:proofErr w:type="spellStart"/>
      <w:r>
        <w:t>Comput</w:t>
      </w:r>
      <w:proofErr w:type="spellEnd"/>
      <w:r>
        <w:t>. Soc. Syst., vol. 6, no. 6, pp. 1420–1432, Dec. 2019.</w:t>
      </w:r>
    </w:p>
    <w:p w14:paraId="136CC5A4" w14:textId="77777777" w:rsidR="007F3CF8" w:rsidRDefault="00000000">
      <w:pPr>
        <w:spacing w:after="60"/>
        <w:ind w:left="360" w:hanging="360"/>
        <w:jc w:val="both"/>
      </w:pPr>
      <w:r>
        <w:lastRenderedPageBreak/>
        <w:t xml:space="preserve">[24] B. Cao, Z. Zhang, D. Feng, S. Zhang, L. Zhang, M. Peng, and Y. Li, "Performance Analysis and Comparison of PoW, </w:t>
      </w:r>
      <w:proofErr w:type="spellStart"/>
      <w:r>
        <w:t>PoS</w:t>
      </w:r>
      <w:proofErr w:type="spellEnd"/>
      <w:r>
        <w:t xml:space="preserve"> and DAG-Based Blockchains," Digital Commun. </w:t>
      </w:r>
      <w:proofErr w:type="spellStart"/>
      <w:r>
        <w:t>Netw</w:t>
      </w:r>
      <w:proofErr w:type="spellEnd"/>
      <w:r>
        <w:t>., vol. 6, no. 4, pp. 480–485, Nov. 2020.</w:t>
      </w:r>
    </w:p>
    <w:p w14:paraId="4EE6ED8F" w14:textId="77777777" w:rsidR="007F3CF8" w:rsidRDefault="00000000">
      <w:pPr>
        <w:spacing w:after="60"/>
        <w:ind w:left="360" w:hanging="360"/>
        <w:jc w:val="both"/>
      </w:pPr>
      <w:r>
        <w:t xml:space="preserve">[25] M. A. Lone and R. Naaz, "Applicability of Blockchain Smart Contracts in Securing Internet and IoT: A Systematic Literature Review," </w:t>
      </w:r>
      <w:proofErr w:type="spellStart"/>
      <w:r>
        <w:t>Comput</w:t>
      </w:r>
      <w:proofErr w:type="spellEnd"/>
      <w:r>
        <w:t>. Sci. Rev., vol. 39, p. 100360, Feb. 2021.</w:t>
      </w:r>
    </w:p>
    <w:p w14:paraId="0C345DA5" w14:textId="77777777" w:rsidR="007F3CF8" w:rsidRDefault="00000000">
      <w:pPr>
        <w:spacing w:after="60"/>
        <w:ind w:left="360" w:hanging="360"/>
        <w:jc w:val="both"/>
      </w:pPr>
      <w:r>
        <w:t>[26] H. Wang, Y. Song, and Y. Ding, "Research on Electronic Medical Record System Based on Blockchain," in Proc. IEEE Int. Conf. Big Data Anal. (ICBDA), 2019, pp. 333–337.</w:t>
      </w:r>
    </w:p>
    <w:p w14:paraId="4FF93C7C" w14:textId="77777777" w:rsidR="007F3CF8" w:rsidRDefault="00000000">
      <w:pPr>
        <w:spacing w:after="60"/>
        <w:ind w:left="360" w:hanging="360"/>
        <w:jc w:val="both"/>
      </w:pPr>
      <w:r>
        <w:t xml:space="preserve">[27] T. K. </w:t>
      </w:r>
      <w:proofErr w:type="spellStart"/>
      <w:r>
        <w:t>Dasaklis</w:t>
      </w:r>
      <w:proofErr w:type="spellEnd"/>
      <w:r>
        <w:t>, F. Casino, and C. Patsakis, "Blockchain Meets Smart Health: Towards Next Generation Healthcare Services," in Proc. 9th Int. Conf. Inform., Intell., Syst. Appl. (IISA), 2018, pp. 1–8.</w:t>
      </w:r>
    </w:p>
    <w:p w14:paraId="27924E12" w14:textId="77777777" w:rsidR="007F3CF8" w:rsidRDefault="00000000">
      <w:pPr>
        <w:spacing w:after="60"/>
        <w:ind w:left="360" w:hanging="360"/>
        <w:jc w:val="both"/>
      </w:pPr>
      <w:r>
        <w:t xml:space="preserve">[28] A. Azaria, A. </w:t>
      </w:r>
      <w:proofErr w:type="spellStart"/>
      <w:r>
        <w:t>Ekblaw</w:t>
      </w:r>
      <w:proofErr w:type="spellEnd"/>
      <w:r>
        <w:t>, T. Vieira, and A. Lippman, "</w:t>
      </w:r>
      <w:proofErr w:type="spellStart"/>
      <w:r>
        <w:t>MedRec</w:t>
      </w:r>
      <w:proofErr w:type="spellEnd"/>
      <w:r>
        <w:t>: Using Blockchain for Medical Data Access and Permission Management," in Proc. 2nd Int. Conf. Open Big Data (OBD), 2016, pp. 25–30.</w:t>
      </w:r>
    </w:p>
    <w:p w14:paraId="32C9C708" w14:textId="77777777" w:rsidR="007F3CF8" w:rsidRDefault="00000000">
      <w:pPr>
        <w:spacing w:after="60"/>
        <w:ind w:left="360" w:hanging="360"/>
        <w:jc w:val="both"/>
      </w:pPr>
      <w:r>
        <w:t xml:space="preserve">[29] J. Sylim, F. Liu, A. Marcelo, and P. </w:t>
      </w:r>
      <w:proofErr w:type="spellStart"/>
      <w:r>
        <w:t>Fontelo</w:t>
      </w:r>
      <w:proofErr w:type="spellEnd"/>
      <w:r>
        <w:t xml:space="preserve">, "Blockchain Technology for Detecting Falsified and Substandard Drugs in Distribution: Pharmaceutical Supply Chain Intervention," JMIR Res. </w:t>
      </w:r>
      <w:proofErr w:type="spellStart"/>
      <w:r>
        <w:t>Protoc</w:t>
      </w:r>
      <w:proofErr w:type="spellEnd"/>
      <w:r>
        <w:t>., vol. 7, no. 9, e10163, Sep. 2018.</w:t>
      </w:r>
    </w:p>
    <w:p w14:paraId="01E5441E" w14:textId="77777777" w:rsidR="007F3CF8" w:rsidRDefault="00000000">
      <w:pPr>
        <w:spacing w:after="60"/>
        <w:ind w:left="360" w:hanging="360"/>
        <w:jc w:val="both"/>
      </w:pPr>
      <w:r>
        <w:t>[30] U.S. Food and Drug Administration (FDA), "Drug Supply Chain Security Act (DSCSA)," Silver Spring, MD, USA, Tech. Rep., 2013. [Online]. Available: https://www.fda.gov/drugs/drug-supply-chain-integrity/drug-supply-chain-security-act-dscsa</w:t>
      </w:r>
    </w:p>
    <w:p w14:paraId="5372EDF1" w14:textId="77777777" w:rsidR="007F3CF8" w:rsidRDefault="007F3CF8">
      <w:pPr>
        <w:spacing w:after="200"/>
      </w:pPr>
    </w:p>
    <w:sectPr w:rsidR="007F3CF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E9D4D16-C8DD-4C80-A789-FD162DC54D16}"/>
  </w:font>
  <w:font w:name="Calibri">
    <w:panose1 w:val="020F0502020204030204"/>
    <w:charset w:val="00"/>
    <w:family w:val="swiss"/>
    <w:pitch w:val="variable"/>
    <w:sig w:usb0="E4002EFF" w:usb1="C200247B" w:usb2="00000009" w:usb3="00000000" w:csb0="000001FF" w:csb1="00000000"/>
    <w:embedRegular r:id="rId2" w:fontKey="{DBE79F99-C0E5-4171-8B16-3EB0E3612C30}"/>
  </w:font>
  <w:font w:name="Cambria">
    <w:panose1 w:val="02040503050406030204"/>
    <w:charset w:val="00"/>
    <w:family w:val="roman"/>
    <w:pitch w:val="variable"/>
    <w:sig w:usb0="E00006FF" w:usb1="420024FF" w:usb2="02000000" w:usb3="00000000" w:csb0="0000019F" w:csb1="00000000"/>
    <w:embedRegular r:id="rId3" w:fontKey="{9BF778E7-3C1F-46A2-9EE4-1BE5691D28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85592"/>
    <w:multiLevelType w:val="multilevel"/>
    <w:tmpl w:val="B06A7CB8"/>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8711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F8"/>
    <w:rsid w:val="00262506"/>
    <w:rsid w:val="002C166A"/>
    <w:rsid w:val="0059028A"/>
    <w:rsid w:val="007F3CF8"/>
    <w:rsid w:val="00A76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D7B8"/>
  <w15:docId w15:val="{B497067F-0304-45D4-8024-19CB4EBF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9Nf4CGTpGrYMXP/4VL1t/Altg==">CgMxLjA4AHIhMXdMLVZtem5GdVRyWHVmX0F3NTlQZzRQalByLU81SXhz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5345</Words>
  <Characters>30471</Characters>
  <Application>Microsoft Office Word</Application>
  <DocSecurity>0</DocSecurity>
  <Lines>253</Lines>
  <Paragraphs>71</Paragraphs>
  <ScaleCrop>false</ScaleCrop>
  <Company/>
  <LinksUpToDate>false</LinksUpToDate>
  <CharactersWithSpaces>35745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SINHA</cp:lastModifiedBy>
  <cp:revision>3</cp:revision>
  <dcterms:created xsi:type="dcterms:W3CDTF">2026-03-28T18:08:00Z</dcterms:created>
  <dcterms:modified xsi:type="dcterms:W3CDTF">2026-03-30T21:07:00Z</dcterms:modified>
</cp:coreProperties>
</file>