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UPDATED TASK LIST</w:t>
      </w:r>
    </w:p>
    <w:p>
      <w:pPr>
        <w:pStyle w:val="Heading2"/>
        <w:jc w:val="center"/>
      </w:pPr>
      <w:r>
        <w:rPr>
          <w:sz w:val="28"/>
        </w:rPr>
        <w:t>Recorded answers</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Audri and Jake</w:t>
            </w:r>
          </w:p>
        </w:tc>
      </w:tr>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August 24, 2026</w:t>
            </w:r>
          </w:p>
        </w:tc>
      </w:tr>
      <w:tr>
        <w:tc>
          <w:tcPr>
            <w:tcW w:type="dxa" w:w="4680"/>
          </w:tcPr>
          <w:p>
            <w:r>
              <w:rPr>
                <w:b/>
                <w:sz w:val="20"/>
              </w:rPr>
              <w:t>About</w:t>
            </w:r>
          </w:p>
        </w:tc>
        <w:tc>
          <w:tcPr>
            <w:tcW w:type="dxa" w:w="4680"/>
          </w:tcPr>
          <w:p>
            <w:r>
              <w:rPr>
                <w:sz w:val="20"/>
              </w:rPr>
              <w:t>Audri’s ticks on the Updated Task List questions, plus the resend spreadsheet `Updated_AI_Task_List.csv`</w:t>
            </w:r>
          </w:p>
        </w:tc>
      </w:tr>
      <w:tr>
        <w:tc>
          <w:tcPr>
            <w:tcW w:type="dxa" w:w="4680"/>
          </w:tcPr>
          <w:p>
            <w:r>
              <w:rPr>
                <w:b/>
                <w:sz w:val="20"/>
              </w:rPr>
              <w:t>Source of ticks</w:t>
            </w:r>
          </w:p>
        </w:tc>
        <w:tc>
          <w:tcPr>
            <w:tcW w:type="dxa" w:w="4680"/>
          </w:tcPr>
          <w:p>
            <w:r>
              <w:rPr>
                <w:sz w:val="20"/>
              </w:rPr>
              <w:t>Google Doc tab (saved here as `AUDRI_UPDATED_TASK_LIST_QUESTIONS_A.md`)</w:t>
            </w:r>
          </w:p>
        </w:tc>
      </w:tr>
      <w:tr>
        <w:tc>
          <w:tcPr>
            <w:tcW w:type="dxa" w:w="4680"/>
          </w:tcPr>
          <w:p>
            <w:r>
              <w:rPr>
                <w:b/>
                <w:sz w:val="20"/>
              </w:rPr>
              <w:t>What this is</w:t>
            </w:r>
          </w:p>
        </w:tc>
        <w:tc>
          <w:tcPr>
            <w:tcW w:type="dxa" w:w="4680"/>
          </w:tcPr>
          <w:p>
            <w:r>
              <w:rPr>
                <w:sz w:val="20"/>
              </w:rPr>
              <w:t>The cutover reading. Live files are not wiped. Live IDs are not renumbered.</w:t>
            </w:r>
          </w:p>
        </w:tc>
      </w:tr>
    </w:tbl>
    <w:p>
      <w:r>
        <w:br w:type="page"/>
      </w:r>
    </w:p>
    <w:p>
      <w:pPr>
        <w:pStyle w:val="Heading1"/>
        <w:spacing w:after="120" w:before="360"/>
      </w:pPr>
      <w:r>
        <w:t>Before you start</w:t>
      </w:r>
    </w:p>
    <w:p>
      <w:pPr>
        <w:spacing w:after="80"/>
      </w:pPr>
      <w:r>
        <w:rPr>
          <w:b w:val="0"/>
          <w:sz w:val="20"/>
        </w:rPr>
        <w:t>Audri answered every question. The resend spreadsheet matches the typo ticks (14–19). I am not changing live deals until we apply a targeted template refresh.</w:t>
      </w:r>
    </w:p>
    <w:p>
      <w:pPr>
        <w:spacing w:after="80"/>
      </w:pPr>
      <w:r>
        <w:rPr>
          <w:b w:val="0"/>
          <w:sz w:val="20"/>
        </w:rPr>
        <w:t>Already decided and still in force: Manual never sends on its own. Assisted drafts named letters for Send. Autopilot may send authorized named letters when confidence is high enough. Closing-information letters never attach the Closing Disclosure. Fallen-through files are Terminated, not Closed.</w:t>
      </w:r>
    </w:p>
    <w:p>
      <w:pPr>
        <w:spacing w:after="80"/>
      </w:pPr>
      <w:r>
        <w:rPr>
          <w:b w:val="0"/>
          <w:sz w:val="20"/>
        </w:rPr>
        <w:t>Jake’s earlier hold (“wait for the task spreadsheet before more automatic letters”) is now lifted by this sheet plus Question 3. I will not invent letters beyond what Audri named.</w:t>
      </w:r>
    </w:p>
    <w:p>
      <w:pPr>
        <w:spacing w:after="120"/>
      </w:pPr>
    </w:p>
    <w:p>
      <w:pPr>
        <w:pStyle w:val="Heading1"/>
        <w:spacing w:after="120" w:before="360"/>
      </w:pPr>
      <w:r>
        <w:t>At a glance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t>
            </w:r>
          </w:p>
        </w:tc>
        <w:tc>
          <w:tcPr>
            <w:tcW w:type="dxa" w:w="3120"/>
            <w:shd w:val="clear" w:color="auto" w:fill="D9E2F3"/>
          </w:tcPr>
          <w:p>
            <w:pPr>
              <w:spacing w:after="0"/>
            </w:pPr>
            <w:r/>
            <w:r>
              <w:rPr>
                <w:b/>
                <w:sz w:val="20"/>
              </w:rPr>
              <w:t>Question</w:t>
            </w:r>
          </w:p>
        </w:tc>
        <w:tc>
          <w:tcPr>
            <w:tcW w:type="dxa" w:w="3120"/>
            <w:shd w:val="clear" w:color="auto" w:fill="D9E2F3"/>
          </w:tcPr>
          <w:p>
            <w:pPr>
              <w:spacing w:after="0"/>
            </w:pPr>
            <w:r/>
            <w:r>
              <w:rPr>
                <w:b/>
                <w:sz w:val="20"/>
              </w:rPr>
              <w:t>Recorded answer</w:t>
            </w:r>
          </w:p>
        </w:tc>
      </w:tr>
      <w:tr>
        <w:tc>
          <w:tcPr>
            <w:tcW w:type="dxa" w:w="3120"/>
          </w:tcPr>
          <w:p>
            <w:pPr>
              <w:spacing w:after="0"/>
            </w:pPr>
            <w:r/>
            <w:r>
              <w:rPr>
                <w:b w:val="0"/>
                <w:sz w:val="20"/>
              </w:rPr>
              <w:t>1</w:t>
            </w:r>
          </w:p>
        </w:tc>
        <w:tc>
          <w:tcPr>
            <w:tcW w:type="dxa" w:w="3120"/>
          </w:tcPr>
          <w:p>
            <w:pPr>
              <w:spacing w:after="0"/>
            </w:pPr>
            <w:r/>
            <w:r>
              <w:rPr>
                <w:b w:val="0"/>
                <w:sz w:val="20"/>
              </w:rPr>
              <w:t>Dual agency (“Both”)</w:t>
            </w:r>
          </w:p>
        </w:tc>
        <w:tc>
          <w:tcPr>
            <w:tcW w:type="dxa" w:w="3120"/>
          </w:tcPr>
          <w:p>
            <w:pPr>
              <w:spacing w:after="0"/>
            </w:pPr>
            <w:r/>
            <w:r>
              <w:rPr>
                <w:b w:val="0"/>
                <w:sz w:val="20"/>
              </w:rPr>
              <w:t>Drop the global skip. Vendor targets (Title, Loan Officer) get one instance. Buyer or seller targets get both instances.</w:t>
            </w:r>
          </w:p>
        </w:tc>
      </w:tr>
      <w:tr>
        <w:tc>
          <w:tcPr>
            <w:tcW w:type="dxa" w:w="3120"/>
          </w:tcPr>
          <w:p>
            <w:pPr>
              <w:spacing w:after="0"/>
            </w:pPr>
            <w:r/>
            <w:r>
              <w:rPr>
                <w:b w:val="0"/>
                <w:sz w:val="20"/>
              </w:rPr>
              <w:t>2</w:t>
            </w:r>
          </w:p>
        </w:tc>
        <w:tc>
          <w:tcPr>
            <w:tcW w:type="dxa" w:w="3120"/>
          </w:tcPr>
          <w:p>
            <w:pPr>
              <w:spacing w:after="0"/>
            </w:pPr>
            <w:r/>
            <w:r>
              <w:rPr>
                <w:b w:val="0"/>
                <w:sz w:val="20"/>
              </w:rPr>
              <w:t>Confirm Title Order (80) vs Order Title (70)</w:t>
            </w:r>
          </w:p>
        </w:tc>
        <w:tc>
          <w:tcPr>
            <w:tcW w:type="dxa" w:w="3120"/>
          </w:tcPr>
          <w:p>
            <w:pPr>
              <w:spacing w:after="0"/>
            </w:pPr>
            <w:r/>
            <w:r>
              <w:rPr>
                <w:b w:val="0"/>
                <w:sz w:val="20"/>
              </w:rPr>
              <w:t>Same package. Difference is the script: we order title (70) vs courtesy when the co-op is ordering (80). Not a “has it been ordered?” follow-up.</w:t>
            </w:r>
          </w:p>
        </w:tc>
      </w:tr>
      <w:tr>
        <w:tc>
          <w:tcPr>
            <w:tcW w:type="dxa" w:w="3120"/>
          </w:tcPr>
          <w:p>
            <w:pPr>
              <w:spacing w:after="0"/>
            </w:pPr>
            <w:r/>
            <w:r>
              <w:rPr>
                <w:b w:val="0"/>
                <w:sz w:val="20"/>
              </w:rPr>
              <w:t>3</w:t>
            </w:r>
          </w:p>
        </w:tc>
        <w:tc>
          <w:tcPr>
            <w:tcW w:type="dxa" w:w="3120"/>
          </w:tcPr>
          <w:p>
            <w:pPr>
              <w:spacing w:after="0"/>
            </w:pPr>
            <w:r/>
            <w:r>
              <w:rPr>
                <w:b w:val="0"/>
                <w:sz w:val="20"/>
              </w:rPr>
              <w:t>Extra Autopilot letters</w:t>
            </w:r>
          </w:p>
        </w:tc>
        <w:tc>
          <w:tcPr>
            <w:tcW w:type="dxa" w:w="3120"/>
          </w:tcPr>
          <w:p>
            <w:pPr>
              <w:spacing w:after="0"/>
            </w:pPr>
            <w:r/>
            <w:r>
              <w:rPr>
                <w:b w:val="0"/>
                <w:sz w:val="20"/>
              </w:rPr>
              <w:t>Request tasks may send on Autopilot (ask, parse the reply, complete or reschedule). Deliver only after the requested attachment or info is in. CTC, CD, closing-information, and testimonials may send on Autopilot. Low confidence drafts like Assisted.</w:t>
            </w:r>
          </w:p>
        </w:tc>
      </w:tr>
      <w:tr>
        <w:tc>
          <w:tcPr>
            <w:tcW w:type="dxa" w:w="3120"/>
          </w:tcPr>
          <w:p>
            <w:pPr>
              <w:spacing w:after="0"/>
            </w:pPr>
            <w:r/>
            <w:r>
              <w:rPr>
                <w:b w:val="0"/>
                <w:sz w:val="20"/>
              </w:rPr>
              <w:t>4</w:t>
            </w:r>
          </w:p>
        </w:tc>
        <w:tc>
          <w:tcPr>
            <w:tcW w:type="dxa" w:w="3120"/>
          </w:tcPr>
          <w:p>
            <w:pPr>
              <w:spacing w:after="0"/>
            </w:pPr>
            <w:r/>
            <w:r>
              <w:rPr>
                <w:b w:val="0"/>
                <w:sz w:val="20"/>
              </w:rPr>
              <w:t>Inspection Negotiated</w:t>
            </w:r>
          </w:p>
        </w:tc>
        <w:tc>
          <w:tcPr>
            <w:tcW w:type="dxa" w:w="3120"/>
          </w:tcPr>
          <w:p>
            <w:pPr>
              <w:spacing w:after="0"/>
            </w:pPr>
            <w:r/>
            <w:r>
              <w:rPr>
                <w:b w:val="0"/>
                <w:sz w:val="20"/>
              </w:rPr>
              <w:t>Not Aime negotiating terms. Aime asks the agent and parses inspection responses / accepted signed responses. Intermediary only.</w:t>
            </w:r>
          </w:p>
        </w:tc>
      </w:tr>
      <w:tr>
        <w:tc>
          <w:tcPr>
            <w:tcW w:type="dxa" w:w="3120"/>
          </w:tcPr>
          <w:p>
            <w:pPr>
              <w:spacing w:after="0"/>
            </w:pPr>
            <w:r/>
            <w:r>
              <w:rPr>
                <w:b w:val="0"/>
                <w:sz w:val="20"/>
              </w:rPr>
              <w:t>5</w:t>
            </w:r>
          </w:p>
        </w:tc>
        <w:tc>
          <w:tcPr>
            <w:tcW w:type="dxa" w:w="3120"/>
          </w:tcPr>
          <w:p>
            <w:pPr>
              <w:spacing w:after="0"/>
            </w:pPr>
            <w:r/>
            <w:r>
              <w:rPr>
                <w:b w:val="0"/>
                <w:sz w:val="20"/>
              </w:rPr>
              <w:t>Order Home Warranty (170)</w:t>
            </w:r>
          </w:p>
        </w:tc>
        <w:tc>
          <w:tcPr>
            <w:tcW w:type="dxa" w:w="3120"/>
          </w:tcPr>
          <w:p>
            <w:pPr>
              <w:spacing w:after="0"/>
            </w:pPr>
            <w:r/>
            <w:r>
              <w:rPr>
                <w:b w:val="0"/>
                <w:sz w:val="20"/>
              </w:rPr>
              <w:t>Internal reminder to the transaction agent and TC to place the order. Not an email to the warranty company.</w:t>
            </w:r>
          </w:p>
        </w:tc>
      </w:tr>
      <w:tr>
        <w:tc>
          <w:tcPr>
            <w:tcW w:type="dxa" w:w="3120"/>
          </w:tcPr>
          <w:p>
            <w:pPr>
              <w:spacing w:after="0"/>
            </w:pPr>
            <w:r/>
            <w:r>
              <w:rPr>
                <w:b w:val="0"/>
                <w:sz w:val="20"/>
              </w:rPr>
              <w:t>6</w:t>
            </w:r>
          </w:p>
        </w:tc>
        <w:tc>
          <w:tcPr>
            <w:tcW w:type="dxa" w:w="3120"/>
          </w:tcPr>
          <w:p>
            <w:pPr>
              <w:spacing w:after="0"/>
            </w:pPr>
            <w:r/>
            <w:r>
              <w:rPr>
                <w:b w:val="0"/>
                <w:sz w:val="20"/>
              </w:rPr>
              <w:t>Confirm Home Warranty (180)</w:t>
            </w:r>
          </w:p>
        </w:tc>
        <w:tc>
          <w:tcPr>
            <w:tcW w:type="dxa" w:w="3120"/>
          </w:tcPr>
          <w:p>
            <w:pPr>
              <w:spacing w:after="0"/>
            </w:pPr>
            <w:r/>
            <w:r>
              <w:rPr>
                <w:b w:val="0"/>
                <w:sz w:val="20"/>
              </w:rPr>
              <w:t>To = co-op agent. TC on copy when a TC is assigned.</w:t>
            </w:r>
          </w:p>
        </w:tc>
      </w:tr>
      <w:tr>
        <w:tc>
          <w:tcPr>
            <w:tcW w:type="dxa" w:w="3120"/>
          </w:tcPr>
          <w:p>
            <w:pPr>
              <w:spacing w:after="0"/>
            </w:pPr>
            <w:r/>
            <w:r>
              <w:rPr>
                <w:b w:val="0"/>
                <w:sz w:val="20"/>
              </w:rPr>
              <w:t>7</w:t>
            </w:r>
          </w:p>
        </w:tc>
        <w:tc>
          <w:tcPr>
            <w:tcW w:type="dxa" w:w="3120"/>
          </w:tcPr>
          <w:p>
            <w:pPr>
              <w:spacing w:after="0"/>
            </w:pPr>
            <w:r/>
            <w:r>
              <w:rPr>
                <w:b w:val="0"/>
                <w:sz w:val="20"/>
              </w:rPr>
              <w:t>Cash Appraisal Completed</w:t>
            </w:r>
          </w:p>
        </w:tc>
        <w:tc>
          <w:tcPr>
            <w:tcW w:type="dxa" w:w="3120"/>
          </w:tcPr>
          <w:p>
            <w:pPr>
              <w:spacing w:after="0"/>
            </w:pPr>
            <w:r/>
            <w:r>
              <w:rPr>
                <w:b w:val="0"/>
                <w:sz w:val="20"/>
              </w:rPr>
              <w:t>Split by target. Keep 271 for Buy-Cash. Add the Sell-Cash rows from the sheet (267 ordered, 275 completed).</w:t>
            </w:r>
          </w:p>
        </w:tc>
      </w:tr>
      <w:tr>
        <w:tc>
          <w:tcPr>
            <w:tcW w:type="dxa" w:w="3120"/>
          </w:tcPr>
          <w:p>
            <w:pPr>
              <w:spacing w:after="0"/>
            </w:pPr>
            <w:r/>
            <w:r>
              <w:rPr>
                <w:b w:val="0"/>
                <w:sz w:val="20"/>
              </w:rPr>
              <w:t>8</w:t>
            </w:r>
          </w:p>
        </w:tc>
        <w:tc>
          <w:tcPr>
            <w:tcW w:type="dxa" w:w="3120"/>
          </w:tcPr>
          <w:p>
            <w:pPr>
              <w:spacing w:after="0"/>
            </w:pPr>
            <w:r/>
            <w:r>
              <w:rPr>
                <w:b w:val="0"/>
                <w:sz w:val="20"/>
              </w:rPr>
              <w:t>Referrals vs testimonials</w:t>
            </w:r>
          </w:p>
        </w:tc>
        <w:tc>
          <w:tcPr>
            <w:tcW w:type="dxa" w:w="3120"/>
          </w:tcPr>
          <w:p>
            <w:pPr>
              <w:spacing w:after="0"/>
            </w:pPr>
            <w:r/>
            <w:r>
              <w:rPr>
                <w:b w:val="0"/>
                <w:sz w:val="20"/>
              </w:rPr>
              <w:t>Keep Request Testimonials. Do not ask for referrals. Keep internal thank-yous as feedback, not sales emails. Scripts to follow.</w:t>
            </w:r>
          </w:p>
        </w:tc>
      </w:tr>
      <w:tr>
        <w:tc>
          <w:tcPr>
            <w:tcW w:type="dxa" w:w="3120"/>
          </w:tcPr>
          <w:p>
            <w:pPr>
              <w:spacing w:after="0"/>
            </w:pPr>
            <w:r/>
            <w:r>
              <w:rPr>
                <w:b w:val="0"/>
                <w:sz w:val="20"/>
              </w:rPr>
              <w:t>9</w:t>
            </w:r>
          </w:p>
        </w:tc>
        <w:tc>
          <w:tcPr>
            <w:tcW w:type="dxa" w:w="3120"/>
          </w:tcPr>
          <w:p>
            <w:pPr>
              <w:spacing w:after="0"/>
            </w:pPr>
            <w:r/>
            <w:r>
              <w:rPr>
                <w:b w:val="0"/>
                <w:sz w:val="20"/>
              </w:rPr>
              <w:t>Year-end exemption reminder (1010)</w:t>
            </w:r>
          </w:p>
        </w:tc>
        <w:tc>
          <w:tcPr>
            <w:tcW w:type="dxa" w:w="3120"/>
          </w:tcPr>
          <w:p>
            <w:pPr>
              <w:spacing w:after="0"/>
            </w:pPr>
            <w:r/>
            <w:r>
              <w:rPr>
                <w:b w:val="0"/>
                <w:sz w:val="20"/>
              </w:rPr>
              <w:t>December 1 blast to buyers on files that closed that calendar year. Year-aware December 31 deadline. Manual does not send it unattended.</w:t>
            </w:r>
          </w:p>
        </w:tc>
      </w:tr>
      <w:tr>
        <w:tc>
          <w:tcPr>
            <w:tcW w:type="dxa" w:w="3120"/>
          </w:tcPr>
          <w:p>
            <w:pPr>
              <w:spacing w:after="0"/>
            </w:pPr>
            <w:r/>
            <w:r>
              <w:rPr>
                <w:b w:val="0"/>
                <w:sz w:val="20"/>
              </w:rPr>
              <w:t>10</w:t>
            </w:r>
          </w:p>
        </w:tc>
        <w:tc>
          <w:tcPr>
            <w:tcW w:type="dxa" w:w="3120"/>
          </w:tcPr>
          <w:p>
            <w:pPr>
              <w:spacing w:after="0"/>
            </w:pPr>
            <w:r/>
            <w:r>
              <w:rPr>
                <w:b w:val="0"/>
                <w:sz w:val="20"/>
              </w:rPr>
              <w:t>Title clouds</w:t>
            </w:r>
          </w:p>
        </w:tc>
        <w:tc>
          <w:tcPr>
            <w:tcW w:type="dxa" w:w="3120"/>
          </w:tcPr>
          <w:p>
            <w:pPr>
              <w:spacing w:after="0"/>
            </w:pPr>
            <w:r/>
            <w:r>
              <w:rPr>
                <w:b w:val="0"/>
                <w:sz w:val="20"/>
              </w:rPr>
              <w:t>Deliver the title commitment now. Cloud summary later.</w:t>
            </w:r>
          </w:p>
        </w:tc>
      </w:tr>
      <w:tr>
        <w:tc>
          <w:tcPr>
            <w:tcW w:type="dxa" w:w="3120"/>
          </w:tcPr>
          <w:p>
            <w:pPr>
              <w:spacing w:after="0"/>
            </w:pPr>
            <w:r/>
            <w:r>
              <w:rPr>
                <w:b w:val="0"/>
                <w:sz w:val="20"/>
              </w:rPr>
              <w:t>11</w:t>
            </w:r>
          </w:p>
        </w:tc>
        <w:tc>
          <w:tcPr>
            <w:tcW w:type="dxa" w:w="3120"/>
          </w:tcPr>
          <w:p>
            <w:pPr>
              <w:spacing w:after="0"/>
            </w:pPr>
            <w:r/>
            <w:r>
              <w:rPr>
                <w:b w:val="0"/>
                <w:sz w:val="20"/>
              </w:rPr>
              <w:t>Request follow-up timers</w:t>
            </w:r>
          </w:p>
        </w:tc>
        <w:tc>
          <w:tcPr>
            <w:tcW w:type="dxa" w:w="3120"/>
          </w:tcPr>
          <w:p>
            <w:pPr>
              <w:spacing w:after="0"/>
            </w:pPr>
            <w:r/>
            <w:r>
              <w:rPr>
                <w:b w:val="0"/>
                <w:sz w:val="20"/>
              </w:rPr>
              <w:t>Both in this cutover: next-day 10am follow-up, and 3-day “step in” nags.</w:t>
            </w:r>
          </w:p>
        </w:tc>
      </w:tr>
      <w:tr>
        <w:tc>
          <w:tcPr>
            <w:tcW w:type="dxa" w:w="3120"/>
          </w:tcPr>
          <w:p>
            <w:pPr>
              <w:spacing w:after="0"/>
            </w:pPr>
            <w:r/>
            <w:r>
              <w:rPr>
                <w:b w:val="0"/>
                <w:sz w:val="20"/>
              </w:rPr>
              <w:t>12</w:t>
            </w:r>
          </w:p>
        </w:tc>
        <w:tc>
          <w:tcPr>
            <w:tcW w:type="dxa" w:w="3120"/>
          </w:tcPr>
          <w:p>
            <w:pPr>
              <w:spacing w:after="0"/>
            </w:pPr>
            <w:r/>
            <w:r>
              <w:rPr>
                <w:b w:val="0"/>
                <w:sz w:val="20"/>
              </w:rPr>
              <w:t>Always-CC</w:t>
            </w:r>
          </w:p>
        </w:tc>
        <w:tc>
          <w:tcPr>
            <w:tcW w:type="dxa" w:w="3120"/>
          </w:tcPr>
          <w:p>
            <w:pPr>
              <w:spacing w:after="0"/>
            </w:pPr>
            <w:r/>
            <w:r>
              <w:rPr>
                <w:b w:val="0"/>
                <w:sz w:val="20"/>
              </w:rPr>
              <w:t>Do not invent extra CCs on library tasks. Agent/TC CC on *user-added* tasks when applicable.</w:t>
            </w:r>
          </w:p>
        </w:tc>
      </w:tr>
      <w:tr>
        <w:tc>
          <w:tcPr>
            <w:tcW w:type="dxa" w:w="3120"/>
          </w:tcPr>
          <w:p>
            <w:pPr>
              <w:spacing w:after="0"/>
            </w:pPr>
            <w:r/>
            <w:r>
              <w:rPr>
                <w:b w:val="0"/>
                <w:sz w:val="20"/>
              </w:rPr>
              <w:t>13</w:t>
            </w:r>
          </w:p>
        </w:tc>
        <w:tc>
          <w:tcPr>
            <w:tcW w:type="dxa" w:w="3120"/>
          </w:tcPr>
          <w:p>
            <w:pPr>
              <w:spacing w:after="0"/>
            </w:pPr>
            <w:r/>
            <w:r>
              <w:rPr>
                <w:b w:val="0"/>
                <w:sz w:val="20"/>
              </w:rPr>
              <w:t>Tasks 235, 453, 455</w:t>
            </w:r>
          </w:p>
        </w:tc>
        <w:tc>
          <w:tcPr>
            <w:tcW w:type="dxa" w:w="3120"/>
          </w:tcPr>
          <w:p>
            <w:pPr>
              <w:spacing w:after="0"/>
            </w:pPr>
            <w:r/>
            <w:r>
              <w:rPr>
                <w:b w:val="0"/>
                <w:sz w:val="20"/>
              </w:rPr>
              <w:t xml:space="preserve">Drop 235 (sellers do not have inspections). Keep lockbox and MLS Sold under </w:t>
            </w:r>
            <w:r>
              <w:rPr>
                <w:b/>
                <w:sz w:val="20"/>
              </w:rPr>
              <w:t>live IDs 453 and 455</w:t>
            </w:r>
            <w:r>
              <w:rPr>
                <w:b w:val="0"/>
                <w:sz w:val="20"/>
              </w:rPr>
              <w:t xml:space="preserve"> (sheet numbers 470 / 480).</w:t>
            </w:r>
          </w:p>
        </w:tc>
      </w:tr>
      <w:tr>
        <w:tc>
          <w:tcPr>
            <w:tcW w:type="dxa" w:w="3120"/>
          </w:tcPr>
          <w:p>
            <w:pPr>
              <w:spacing w:after="0"/>
            </w:pPr>
            <w:r/>
            <w:r>
              <w:rPr>
                <w:b w:val="0"/>
                <w:sz w:val="20"/>
              </w:rPr>
              <w:t>14</w:t>
            </w:r>
          </w:p>
        </w:tc>
        <w:tc>
          <w:tcPr>
            <w:tcW w:type="dxa" w:w="3120"/>
          </w:tcPr>
          <w:p>
            <w:pPr>
              <w:spacing w:after="0"/>
            </w:pPr>
            <w:r/>
            <w:r>
              <w:rPr>
                <w:b w:val="0"/>
                <w:sz w:val="20"/>
              </w:rPr>
              <w:t>Task 150 notes</w:t>
            </w:r>
          </w:p>
        </w:tc>
        <w:tc>
          <w:tcPr>
            <w:tcW w:type="dxa" w:w="3120"/>
          </w:tcPr>
          <w:p>
            <w:pPr>
              <w:spacing w:after="0"/>
            </w:pPr>
            <w:r/>
            <w:r>
              <w:rPr>
                <w:b w:val="0"/>
                <w:sz w:val="20"/>
              </w:rPr>
              <w:t>Utility info, not HOA. Fixed in the resend.</w:t>
            </w:r>
          </w:p>
        </w:tc>
      </w:tr>
      <w:tr>
        <w:tc>
          <w:tcPr>
            <w:tcW w:type="dxa" w:w="3120"/>
          </w:tcPr>
          <w:p>
            <w:pPr>
              <w:spacing w:after="0"/>
            </w:pPr>
            <w:r/>
            <w:r>
              <w:rPr>
                <w:b w:val="0"/>
                <w:sz w:val="20"/>
              </w:rPr>
              <w:t>15</w:t>
            </w:r>
          </w:p>
        </w:tc>
        <w:tc>
          <w:tcPr>
            <w:tcW w:type="dxa" w:w="3120"/>
          </w:tcPr>
          <w:p>
            <w:pPr>
              <w:spacing w:after="0"/>
            </w:pPr>
            <w:r/>
            <w:r>
              <w:rPr>
                <w:b w:val="0"/>
                <w:sz w:val="20"/>
              </w:rPr>
              <w:t>Task 160 target</w:t>
            </w:r>
          </w:p>
        </w:tc>
        <w:tc>
          <w:tcPr>
            <w:tcW w:type="dxa" w:w="3120"/>
          </w:tcPr>
          <w:p>
            <w:pPr>
              <w:spacing w:after="0"/>
            </w:pPr>
            <w:r/>
            <w:r>
              <w:rPr>
                <w:b w:val="0"/>
                <w:sz w:val="20"/>
              </w:rPr>
              <w:t>To = co-op / buyer’s agent. Fixed in the resend.</w:t>
            </w:r>
          </w:p>
        </w:tc>
      </w:tr>
      <w:tr>
        <w:tc>
          <w:tcPr>
            <w:tcW w:type="dxa" w:w="3120"/>
          </w:tcPr>
          <w:p>
            <w:pPr>
              <w:spacing w:after="0"/>
            </w:pPr>
            <w:r/>
            <w:r>
              <w:rPr>
                <w:b w:val="0"/>
                <w:sz w:val="20"/>
              </w:rPr>
              <w:t>16</w:t>
            </w:r>
          </w:p>
        </w:tc>
        <w:tc>
          <w:tcPr>
            <w:tcW w:type="dxa" w:w="3120"/>
          </w:tcPr>
          <w:p>
            <w:pPr>
              <w:spacing w:after="0"/>
            </w:pPr>
            <w:r/>
            <w:r>
              <w:rPr>
                <w:b w:val="0"/>
                <w:sz w:val="20"/>
              </w:rPr>
              <w:t>Task 255 parent</w:t>
            </w:r>
          </w:p>
        </w:tc>
        <w:tc>
          <w:tcPr>
            <w:tcW w:type="dxa" w:w="3120"/>
          </w:tcPr>
          <w:p>
            <w:pPr>
              <w:spacing w:after="0"/>
            </w:pPr>
            <w:r/>
            <w:r>
              <w:rPr>
                <w:b w:val="0"/>
                <w:sz w:val="20"/>
              </w:rPr>
              <w:t>Depend on 245. Notify the client (seller-side). Fixed in the resend.</w:t>
            </w:r>
          </w:p>
        </w:tc>
      </w:tr>
      <w:tr>
        <w:tc>
          <w:tcPr>
            <w:tcW w:type="dxa" w:w="3120"/>
          </w:tcPr>
          <w:p>
            <w:pPr>
              <w:spacing w:after="0"/>
            </w:pPr>
            <w:r/>
            <w:r>
              <w:rPr>
                <w:b w:val="0"/>
                <w:sz w:val="20"/>
              </w:rPr>
              <w:t>17</w:t>
            </w:r>
          </w:p>
        </w:tc>
        <w:tc>
          <w:tcPr>
            <w:tcW w:type="dxa" w:w="3120"/>
          </w:tcPr>
          <w:p>
            <w:pPr>
              <w:spacing w:after="0"/>
            </w:pPr>
            <w:r/>
            <w:r>
              <w:rPr>
                <w:b w:val="0"/>
                <w:sz w:val="20"/>
              </w:rPr>
              <w:t>Missing hyphens</w:t>
            </w:r>
          </w:p>
        </w:tc>
        <w:tc>
          <w:tcPr>
            <w:tcW w:type="dxa" w:w="3120"/>
          </w:tcPr>
          <w:p>
            <w:pPr>
              <w:spacing w:after="0"/>
            </w:pPr>
            <w:r/>
            <w:r>
              <w:rPr>
                <w:b w:val="0"/>
                <w:sz w:val="20"/>
              </w:rPr>
              <w:t>Treat as Sell-Cash / Buy-Cash. Fixed in the resend.</w:t>
            </w:r>
          </w:p>
        </w:tc>
      </w:tr>
      <w:tr>
        <w:tc>
          <w:tcPr>
            <w:tcW w:type="dxa" w:w="3120"/>
          </w:tcPr>
          <w:p>
            <w:pPr>
              <w:spacing w:after="0"/>
            </w:pPr>
            <w:r/>
            <w:r>
              <w:rPr>
                <w:b w:val="0"/>
                <w:sz w:val="20"/>
              </w:rPr>
              <w:t>18</w:t>
            </w:r>
          </w:p>
        </w:tc>
        <w:tc>
          <w:tcPr>
            <w:tcW w:type="dxa" w:w="3120"/>
          </w:tcPr>
          <w:p>
            <w:pPr>
              <w:spacing w:after="0"/>
            </w:pPr>
            <w:r/>
            <w:r>
              <w:rPr>
                <w:b w:val="0"/>
                <w:sz w:val="20"/>
              </w:rPr>
              <w:t>267 / 275 date rules</w:t>
            </w:r>
          </w:p>
        </w:tc>
        <w:tc>
          <w:tcPr>
            <w:tcW w:type="dxa" w:w="3120"/>
          </w:tcPr>
          <w:p>
            <w:pPr>
              <w:spacing w:after="0"/>
            </w:pPr>
            <w:r/>
            <w:r>
              <w:rPr>
                <w:b w:val="0"/>
                <w:sz w:val="20"/>
              </w:rPr>
              <w:t>Added in the resend: 267 = FS / 5 / +3. 275 = SS / 1000 / −15.</w:t>
            </w:r>
          </w:p>
        </w:tc>
      </w:tr>
      <w:tr>
        <w:tc>
          <w:tcPr>
            <w:tcW w:type="dxa" w:w="3120"/>
          </w:tcPr>
          <w:p>
            <w:pPr>
              <w:spacing w:after="0"/>
            </w:pPr>
            <w:r/>
            <w:r>
              <w:rPr>
                <w:b w:val="0"/>
                <w:sz w:val="20"/>
              </w:rPr>
              <w:t>19</w:t>
            </w:r>
          </w:p>
        </w:tc>
        <w:tc>
          <w:tcPr>
            <w:tcW w:type="dxa" w:w="3120"/>
          </w:tcPr>
          <w:p>
            <w:pPr>
              <w:spacing w:after="0"/>
            </w:pPr>
            <w:r/>
            <w:r>
              <w:rPr>
                <w:b w:val="0"/>
                <w:sz w:val="20"/>
              </w:rPr>
              <w:t>Task 170 AI User Types</w:t>
            </w:r>
          </w:p>
        </w:tc>
        <w:tc>
          <w:tcPr>
            <w:tcW w:type="dxa" w:w="3120"/>
          </w:tcPr>
          <w:p>
            <w:pPr>
              <w:spacing w:after="0"/>
            </w:pPr>
            <w:r/>
            <w:r>
              <w:rPr>
                <w:b w:val="0"/>
                <w:sz w:val="20"/>
              </w:rPr>
              <w:t>Manual, Assisted &amp; Autopilot in the resend. Still an internal reminder (Question 5).</w:t>
            </w:r>
          </w:p>
        </w:tc>
      </w:tr>
      <w:tr>
        <w:tc>
          <w:tcPr>
            <w:tcW w:type="dxa" w:w="3120"/>
          </w:tcPr>
          <w:p>
            <w:pPr>
              <w:spacing w:after="0"/>
            </w:pPr>
            <w:r/>
            <w:r>
              <w:rPr>
                <w:b w:val="0"/>
                <w:sz w:val="20"/>
              </w:rPr>
              <w:t>20</w:t>
            </w:r>
          </w:p>
        </w:tc>
        <w:tc>
          <w:tcPr>
            <w:tcW w:type="dxa" w:w="3120"/>
          </w:tcPr>
          <w:p>
            <w:pPr>
              <w:spacing w:after="0"/>
            </w:pPr>
            <w:r/>
            <w:r>
              <w:rPr>
                <w:b w:val="0"/>
                <w:sz w:val="20"/>
              </w:rPr>
              <w:t>Global “If Both…” line</w:t>
            </w:r>
          </w:p>
        </w:tc>
        <w:tc>
          <w:tcPr>
            <w:tcW w:type="dxa" w:w="3120"/>
          </w:tcPr>
          <w:p>
            <w:pPr>
              <w:spacing w:after="0"/>
            </w:pPr>
            <w:r/>
            <w:r>
              <w:rPr>
                <w:b w:val="0"/>
                <w:sz w:val="20"/>
              </w:rPr>
              <w:t>Ignore it. Question 1 is the rule. (The line is gone from the resend.)</w:t>
            </w:r>
          </w:p>
        </w:tc>
      </w:tr>
      <w:tr>
        <w:tc>
          <w:tcPr>
            <w:tcW w:type="dxa" w:w="3120"/>
          </w:tcPr>
          <w:p>
            <w:pPr>
              <w:spacing w:after="0"/>
            </w:pPr>
            <w:r/>
            <w:r>
              <w:rPr>
                <w:b w:val="0"/>
                <w:sz w:val="20"/>
              </w:rPr>
              <w:t>21</w:t>
            </w:r>
          </w:p>
        </w:tc>
        <w:tc>
          <w:tcPr>
            <w:tcW w:type="dxa" w:w="3120"/>
          </w:tcPr>
          <w:p>
            <w:pPr>
              <w:spacing w:after="0"/>
            </w:pPr>
            <w:r/>
            <w:r>
              <w:rPr>
                <w:b w:val="0"/>
                <w:sz w:val="20"/>
              </w:rPr>
              <w:t>Co-op welcome</w:t>
            </w:r>
          </w:p>
        </w:tc>
        <w:tc>
          <w:tcPr>
            <w:tcW w:type="dxa" w:w="3120"/>
          </w:tcPr>
          <w:p>
            <w:pPr>
              <w:spacing w:after="0"/>
            </w:pPr>
            <w:r/>
            <w:r>
              <w:rPr>
                <w:b w:val="0"/>
                <w:sz w:val="20"/>
              </w:rPr>
              <w:t>Merge missing signatures / documents / contacts into the welcome. CC agent and TC when those asks are in the letter.</w:t>
            </w:r>
          </w:p>
        </w:tc>
      </w:tr>
    </w:tbl>
    <w:p/>
    <w:p>
      <w:pPr>
        <w:spacing w:after="120"/>
      </w:pPr>
    </w:p>
    <w:p>
      <w:pPr>
        <w:pStyle w:val="Heading1"/>
        <w:spacing w:after="120" w:before="360"/>
      </w:pPr>
      <w:r>
        <w:t>What I will not do</w:t>
      </w:r>
    </w:p>
    <w:p>
      <w:pPr>
        <w:spacing w:after="40"/>
        <w:ind w:left="357" w:hanging="255"/>
      </w:pPr>
      <w:r>
        <w:rPr>
          <w:b w:val="0"/>
          <w:sz w:val="20"/>
        </w:rPr>
        <w:t xml:space="preserve">- </w:t>
      </w:r>
      <w:r>
        <w:rPr>
          <w:b w:val="0"/>
          <w:sz w:val="20"/>
        </w:rPr>
        <w:t xml:space="preserve">I will </w:t>
      </w:r>
      <w:r>
        <w:rPr>
          <w:b/>
          <w:sz w:val="20"/>
        </w:rPr>
        <w:t>not</w:t>
      </w:r>
      <w:r>
        <w:rPr>
          <w:b w:val="0"/>
          <w:sz w:val="20"/>
        </w:rPr>
        <w:t xml:space="preserve"> delete the live task library and start over.</w:t>
      </w:r>
    </w:p>
    <w:p>
      <w:pPr>
        <w:spacing w:after="40"/>
        <w:ind w:left="357" w:hanging="255"/>
      </w:pPr>
      <w:r>
        <w:rPr>
          <w:b w:val="0"/>
          <w:sz w:val="20"/>
        </w:rPr>
        <w:t xml:space="preserve">- </w:t>
      </w:r>
      <w:r>
        <w:rPr>
          <w:b w:val="0"/>
          <w:sz w:val="20"/>
        </w:rPr>
        <w:t xml:space="preserve">I will </w:t>
      </w:r>
      <w:r>
        <w:rPr>
          <w:b/>
          <w:sz w:val="20"/>
        </w:rPr>
        <w:t>not</w:t>
      </w:r>
      <w:r>
        <w:rPr>
          <w:b w:val="0"/>
          <w:sz w:val="20"/>
        </w:rPr>
        <w:t xml:space="preserve"> adopt the spreadsheet numbers from 360 onward. Those numbers already mean different work on live files.</w:t>
      </w:r>
    </w:p>
    <w:p>
      <w:pPr>
        <w:spacing w:after="40"/>
        <w:ind w:left="357" w:hanging="255"/>
      </w:pPr>
      <w:r>
        <w:rPr>
          <w:b w:val="0"/>
          <w:sz w:val="20"/>
        </w:rPr>
        <w:t xml:space="preserve">- </w:t>
      </w:r>
      <w:r>
        <w:rPr>
          <w:b w:val="0"/>
          <w:sz w:val="20"/>
        </w:rPr>
        <w:t xml:space="preserve">I will </w:t>
      </w:r>
      <w:r>
        <w:rPr>
          <w:b/>
          <w:sz w:val="20"/>
        </w:rPr>
        <w:t>not</w:t>
      </w:r>
      <w:r>
        <w:rPr>
          <w:b w:val="0"/>
          <w:sz w:val="20"/>
        </w:rPr>
        <w:t xml:space="preserve"> attach the Closing Disclosure to closing-information letters.</w:t>
      </w:r>
    </w:p>
    <w:p>
      <w:pPr>
        <w:spacing w:after="40"/>
        <w:ind w:left="357" w:hanging="255"/>
      </w:pPr>
      <w:r>
        <w:rPr>
          <w:b w:val="0"/>
          <w:sz w:val="20"/>
        </w:rPr>
        <w:t xml:space="preserve">- </w:t>
      </w:r>
      <w:r>
        <w:rPr>
          <w:b w:val="0"/>
          <w:sz w:val="20"/>
        </w:rPr>
        <w:t xml:space="preserve">I will </w:t>
      </w:r>
      <w:r>
        <w:rPr>
          <w:b/>
          <w:sz w:val="20"/>
        </w:rPr>
        <w:t>not</w:t>
      </w:r>
      <w:r>
        <w:rPr>
          <w:b w:val="0"/>
          <w:sz w:val="20"/>
        </w:rPr>
        <w:t xml:space="preserve"> put a lien/judgment “cloud summary” in Deliver Title on this pass (Question 10).</w:t>
      </w:r>
    </w:p>
    <w:p>
      <w:pPr>
        <w:spacing w:after="40"/>
        <w:ind w:left="357" w:hanging="255"/>
      </w:pPr>
      <w:r>
        <w:rPr>
          <w:b w:val="0"/>
          <w:sz w:val="20"/>
        </w:rPr>
        <w:t xml:space="preserve">- </w:t>
      </w:r>
      <w:r>
        <w:rPr>
          <w:b w:val="0"/>
          <w:sz w:val="20"/>
        </w:rPr>
        <w:t xml:space="preserve">I will </w:t>
      </w:r>
      <w:r>
        <w:rPr>
          <w:b/>
          <w:sz w:val="20"/>
        </w:rPr>
        <w:t>not</w:t>
      </w:r>
      <w:r>
        <w:rPr>
          <w:b w:val="0"/>
          <w:sz w:val="20"/>
        </w:rPr>
        <w:t xml:space="preserve"> send Manual letters unattended, including 1010.</w:t>
      </w:r>
    </w:p>
    <w:p>
      <w:pPr>
        <w:spacing w:after="80"/>
      </w:pPr>
      <w:r>
        <w:rPr>
          <w:b w:val="0"/>
          <w:sz w:val="20"/>
        </w:rPr>
        <w:t>Existing open tasks keep their current IDs and history. New deals, and a targeted refresh of templates, pick up the updated behavior.</w:t>
      </w:r>
    </w:p>
    <w:p>
      <w:pPr>
        <w:spacing w:after="120"/>
      </w:pPr>
    </w:p>
    <w:p>
      <w:pPr>
        <w:pStyle w:val="Heading1"/>
        <w:spacing w:after="120" w:before="360"/>
      </w:pPr>
      <w:r>
        <w:t>ID map (spreadsheet → live)</w:t>
      </w:r>
    </w:p>
    <w:p>
      <w:pPr>
        <w:spacing w:after="80"/>
      </w:pPr>
      <w:r>
        <w:rPr>
          <w:b w:val="0"/>
          <w:sz w:val="20"/>
        </w:rPr>
        <w:t xml:space="preserve">From Contract Acceptance through Schedule Closing, most spreadsheet IDs already match live (5–350). After that, the spreadsheet reuses numbers. </w:t>
      </w:r>
      <w:r>
        <w:rPr>
          <w:b/>
          <w:sz w:val="20"/>
        </w:rPr>
        <w:t>Function follows the sheet. The number on screen stays the live ID.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Spreadsheet ID</w:t>
            </w:r>
          </w:p>
        </w:tc>
        <w:tc>
          <w:tcPr>
            <w:tcW w:type="dxa" w:w="2340"/>
            <w:shd w:val="clear" w:color="auto" w:fill="D9E2F3"/>
          </w:tcPr>
          <w:p>
            <w:pPr>
              <w:spacing w:after="0"/>
            </w:pPr>
            <w:r/>
            <w:r>
              <w:rPr>
                <w:b/>
                <w:sz w:val="20"/>
              </w:rPr>
              <w:t>Spreadsheet name</w:t>
            </w:r>
          </w:p>
        </w:tc>
        <w:tc>
          <w:tcPr>
            <w:tcW w:type="dxa" w:w="2340"/>
            <w:shd w:val="clear" w:color="auto" w:fill="D9E2F3"/>
          </w:tcPr>
          <w:p>
            <w:pPr>
              <w:spacing w:after="0"/>
            </w:pPr>
            <w:r/>
            <w:r>
              <w:rPr>
                <w:b/>
                <w:sz w:val="20"/>
              </w:rPr>
              <w:t>Live ID</w:t>
            </w:r>
          </w:p>
        </w:tc>
        <w:tc>
          <w:tcPr>
            <w:tcW w:type="dxa" w:w="2340"/>
            <w:shd w:val="clear" w:color="auto" w:fill="D9E2F3"/>
          </w:tcPr>
          <w:p>
            <w:pPr>
              <w:spacing w:after="0"/>
            </w:pPr>
            <w:r/>
            <w:r>
              <w:rPr>
                <w:b/>
                <w:sz w:val="20"/>
              </w:rPr>
              <w:t>What I will do</w:t>
            </w:r>
          </w:p>
        </w:tc>
      </w:tr>
      <w:tr>
        <w:tc>
          <w:tcPr>
            <w:tcW w:type="dxa" w:w="2340"/>
          </w:tcPr>
          <w:p>
            <w:pPr>
              <w:spacing w:after="0"/>
            </w:pPr>
            <w:r/>
            <w:r>
              <w:rPr>
                <w:b w:val="0"/>
                <w:sz w:val="20"/>
              </w:rPr>
              <w:t>360</w:t>
            </w:r>
          </w:p>
        </w:tc>
        <w:tc>
          <w:tcPr>
            <w:tcW w:type="dxa" w:w="2340"/>
          </w:tcPr>
          <w:p>
            <w:pPr>
              <w:spacing w:after="0"/>
            </w:pPr>
            <w:r/>
            <w:r>
              <w:rPr>
                <w:b w:val="0"/>
                <w:sz w:val="20"/>
              </w:rPr>
              <w:t>Closing Gift</w:t>
            </w:r>
          </w:p>
        </w:tc>
        <w:tc>
          <w:tcPr>
            <w:tcW w:type="dxa" w:w="2340"/>
          </w:tcPr>
          <w:p>
            <w:pPr>
              <w:spacing w:after="0"/>
            </w:pPr>
            <w:r/>
            <w:r>
              <w:rPr>
                <w:b/>
                <w:sz w:val="20"/>
              </w:rPr>
              <w:t>370</w:t>
            </w:r>
            <w:r>
              <w:rPr>
                <w:b w:val="0"/>
                <w:sz w:val="20"/>
              </w:rPr>
              <w:t xml:space="preserve"> (plus stop extra 375 / 380)</w:t>
            </w:r>
          </w:p>
        </w:tc>
        <w:tc>
          <w:tcPr>
            <w:tcW w:type="dxa" w:w="2340"/>
          </w:tcPr>
          <w:p>
            <w:pPr>
              <w:spacing w:after="0"/>
            </w:pPr>
            <w:r/>
            <w:r>
              <w:rPr>
                <w:b w:val="0"/>
                <w:sz w:val="20"/>
              </w:rPr>
              <w:t>One Closing Gift for all four use cases. Keep 370. Stop generating the Both-only 375 and sell-only 380 extras.</w:t>
            </w:r>
          </w:p>
        </w:tc>
      </w:tr>
      <w:tr>
        <w:tc>
          <w:tcPr>
            <w:tcW w:type="dxa" w:w="2340"/>
          </w:tcPr>
          <w:p>
            <w:pPr>
              <w:spacing w:after="0"/>
            </w:pPr>
            <w:r/>
            <w:r>
              <w:rPr>
                <w:b w:val="0"/>
                <w:sz w:val="20"/>
              </w:rPr>
              <w:t>370</w:t>
            </w:r>
          </w:p>
        </w:tc>
        <w:tc>
          <w:tcPr>
            <w:tcW w:type="dxa" w:w="2340"/>
          </w:tcPr>
          <w:p>
            <w:pPr>
              <w:spacing w:after="0"/>
            </w:pPr>
            <w:r/>
            <w:r>
              <w:rPr>
                <w:b w:val="0"/>
                <w:sz w:val="20"/>
              </w:rPr>
              <w:t>Buyer Closing Information</w:t>
            </w:r>
          </w:p>
        </w:tc>
        <w:tc>
          <w:tcPr>
            <w:tcW w:type="dxa" w:w="2340"/>
          </w:tcPr>
          <w:p>
            <w:pPr>
              <w:spacing w:after="0"/>
            </w:pPr>
            <w:r/>
            <w:r>
              <w:rPr>
                <w:b/>
                <w:sz w:val="20"/>
              </w:rPr>
              <w:t>420</w:t>
            </w:r>
          </w:p>
        </w:tc>
        <w:tc>
          <w:tcPr>
            <w:tcW w:type="dxa" w:w="2340"/>
          </w:tcPr>
          <w:p>
            <w:pPr>
              <w:spacing w:after="0"/>
            </w:pPr>
            <w:r/>
            <w:r>
              <w:rPr>
                <w:b w:val="0"/>
                <w:sz w:val="20"/>
              </w:rPr>
              <w:t>Update copy/CC/attachments from the sheet. Still no Closing Disclosure.</w:t>
            </w:r>
          </w:p>
        </w:tc>
      </w:tr>
      <w:tr>
        <w:tc>
          <w:tcPr>
            <w:tcW w:type="dxa" w:w="2340"/>
          </w:tcPr>
          <w:p>
            <w:pPr>
              <w:spacing w:after="0"/>
            </w:pPr>
            <w:r/>
            <w:r>
              <w:rPr>
                <w:b w:val="0"/>
                <w:sz w:val="20"/>
              </w:rPr>
              <w:t>380</w:t>
            </w:r>
          </w:p>
        </w:tc>
        <w:tc>
          <w:tcPr>
            <w:tcW w:type="dxa" w:w="2340"/>
          </w:tcPr>
          <w:p>
            <w:pPr>
              <w:spacing w:after="0"/>
            </w:pPr>
            <w:r/>
            <w:r>
              <w:rPr>
                <w:b w:val="0"/>
                <w:sz w:val="20"/>
              </w:rPr>
              <w:t>Seller Closing Information</w:t>
            </w:r>
          </w:p>
        </w:tc>
        <w:tc>
          <w:tcPr>
            <w:tcW w:type="dxa" w:w="2340"/>
          </w:tcPr>
          <w:p>
            <w:pPr>
              <w:spacing w:after="0"/>
            </w:pPr>
            <w:r/>
            <w:r>
              <w:rPr>
                <w:b/>
                <w:sz w:val="20"/>
              </w:rPr>
              <w:t>430</w:t>
            </w:r>
          </w:p>
        </w:tc>
        <w:tc>
          <w:tcPr>
            <w:tcW w:type="dxa" w:w="2340"/>
          </w:tcPr>
          <w:p>
            <w:pPr>
              <w:spacing w:after="0"/>
            </w:pPr>
            <w:r/>
            <w:r>
              <w:rPr>
                <w:b w:val="0"/>
                <w:sz w:val="20"/>
              </w:rPr>
              <w:t>Same.</w:t>
            </w:r>
          </w:p>
        </w:tc>
      </w:tr>
      <w:tr>
        <w:tc>
          <w:tcPr>
            <w:tcW w:type="dxa" w:w="2340"/>
          </w:tcPr>
          <w:p>
            <w:pPr>
              <w:spacing w:after="0"/>
            </w:pPr>
            <w:r/>
            <w:r>
              <w:rPr>
                <w:b w:val="0"/>
                <w:sz w:val="20"/>
              </w:rPr>
              <w:t>390</w:t>
            </w:r>
          </w:p>
        </w:tc>
        <w:tc>
          <w:tcPr>
            <w:tcW w:type="dxa" w:w="2340"/>
          </w:tcPr>
          <w:p>
            <w:pPr>
              <w:spacing w:after="0"/>
            </w:pPr>
            <w:r/>
            <w:r>
              <w:rPr>
                <w:b w:val="0"/>
                <w:sz w:val="20"/>
              </w:rPr>
              <w:t>Seller’s Agent Closing Information</w:t>
            </w:r>
          </w:p>
        </w:tc>
        <w:tc>
          <w:tcPr>
            <w:tcW w:type="dxa" w:w="2340"/>
          </w:tcPr>
          <w:p>
            <w:pPr>
              <w:spacing w:after="0"/>
            </w:pPr>
            <w:r/>
            <w:r>
              <w:rPr>
                <w:b/>
                <w:sz w:val="20"/>
              </w:rPr>
              <w:t>440</w:t>
            </w:r>
          </w:p>
        </w:tc>
        <w:tc>
          <w:tcPr>
            <w:tcW w:type="dxa" w:w="2340"/>
          </w:tcPr>
          <w:p>
            <w:pPr>
              <w:spacing w:after="0"/>
            </w:pPr>
            <w:r/>
            <w:r>
              <w:rPr>
                <w:b w:val="0"/>
                <w:sz w:val="20"/>
              </w:rPr>
              <w:t>Same.</w:t>
            </w:r>
          </w:p>
        </w:tc>
      </w:tr>
      <w:tr>
        <w:tc>
          <w:tcPr>
            <w:tcW w:type="dxa" w:w="2340"/>
          </w:tcPr>
          <w:p>
            <w:pPr>
              <w:spacing w:after="0"/>
            </w:pPr>
            <w:r/>
            <w:r>
              <w:rPr>
                <w:b w:val="0"/>
                <w:sz w:val="20"/>
              </w:rPr>
              <w:t>400</w:t>
            </w:r>
          </w:p>
        </w:tc>
        <w:tc>
          <w:tcPr>
            <w:tcW w:type="dxa" w:w="2340"/>
          </w:tcPr>
          <w:p>
            <w:pPr>
              <w:spacing w:after="0"/>
            </w:pPr>
            <w:r/>
            <w:r>
              <w:rPr>
                <w:b w:val="0"/>
                <w:sz w:val="20"/>
              </w:rPr>
              <w:t>Buyer’s Agent Closing Information</w:t>
            </w:r>
          </w:p>
        </w:tc>
        <w:tc>
          <w:tcPr>
            <w:tcW w:type="dxa" w:w="2340"/>
          </w:tcPr>
          <w:p>
            <w:pPr>
              <w:spacing w:after="0"/>
            </w:pPr>
            <w:r/>
            <w:r>
              <w:rPr>
                <w:b/>
                <w:sz w:val="20"/>
              </w:rPr>
              <w:t>450</w:t>
            </w:r>
          </w:p>
        </w:tc>
        <w:tc>
          <w:tcPr>
            <w:tcW w:type="dxa" w:w="2340"/>
          </w:tcPr>
          <w:p>
            <w:pPr>
              <w:spacing w:after="0"/>
            </w:pPr>
            <w:r/>
            <w:r>
              <w:rPr>
                <w:b w:val="0"/>
                <w:sz w:val="20"/>
              </w:rPr>
              <w:t>Same. Utility Info attached on the buy-side co-op row per the sheet.</w:t>
            </w:r>
          </w:p>
        </w:tc>
      </w:tr>
      <w:tr>
        <w:tc>
          <w:tcPr>
            <w:tcW w:type="dxa" w:w="2340"/>
          </w:tcPr>
          <w:p>
            <w:pPr>
              <w:spacing w:after="0"/>
            </w:pPr>
            <w:r/>
            <w:r>
              <w:rPr>
                <w:b w:val="0"/>
                <w:sz w:val="20"/>
              </w:rPr>
              <w:t>410</w:t>
            </w:r>
          </w:p>
        </w:tc>
        <w:tc>
          <w:tcPr>
            <w:tcW w:type="dxa" w:w="2340"/>
          </w:tcPr>
          <w:p>
            <w:pPr>
              <w:spacing w:after="0"/>
            </w:pPr>
            <w:r/>
            <w:r>
              <w:rPr>
                <w:b w:val="0"/>
                <w:sz w:val="20"/>
              </w:rPr>
              <w:t>Request Testimonials (buyer)</w:t>
            </w:r>
          </w:p>
        </w:tc>
        <w:tc>
          <w:tcPr>
            <w:tcW w:type="dxa" w:w="2340"/>
          </w:tcPr>
          <w:p>
            <w:pPr>
              <w:spacing w:after="0"/>
            </w:pPr>
            <w:r/>
            <w:r>
              <w:rPr>
                <w:b/>
                <w:sz w:val="20"/>
              </w:rPr>
              <w:t>460</w:t>
            </w:r>
          </w:p>
        </w:tc>
        <w:tc>
          <w:tcPr>
            <w:tcW w:type="dxa" w:w="2340"/>
          </w:tcPr>
          <w:p>
            <w:pPr>
              <w:spacing w:after="0"/>
            </w:pPr>
            <w:r/>
            <w:r>
              <w:rPr>
                <w:b w:val="0"/>
                <w:sz w:val="20"/>
              </w:rPr>
              <w:t>Name stays Request Testimonials. Autopilot-eligible per Question 3. Scripts to follow.</w:t>
            </w:r>
          </w:p>
        </w:tc>
      </w:tr>
      <w:tr>
        <w:tc>
          <w:tcPr>
            <w:tcW w:type="dxa" w:w="2340"/>
          </w:tcPr>
          <w:p>
            <w:pPr>
              <w:spacing w:after="0"/>
            </w:pPr>
            <w:r/>
            <w:r>
              <w:rPr>
                <w:b w:val="0"/>
                <w:sz w:val="20"/>
              </w:rPr>
              <w:t>420</w:t>
            </w:r>
          </w:p>
        </w:tc>
        <w:tc>
          <w:tcPr>
            <w:tcW w:type="dxa" w:w="2340"/>
          </w:tcPr>
          <w:p>
            <w:pPr>
              <w:spacing w:after="0"/>
            </w:pPr>
            <w:r/>
            <w:r>
              <w:rPr>
                <w:b w:val="0"/>
                <w:sz w:val="20"/>
              </w:rPr>
              <w:t>Request Testimonials (seller)</w:t>
            </w:r>
          </w:p>
        </w:tc>
        <w:tc>
          <w:tcPr>
            <w:tcW w:type="dxa" w:w="2340"/>
          </w:tcPr>
          <w:p>
            <w:pPr>
              <w:spacing w:after="0"/>
            </w:pPr>
            <w:r/>
            <w:r>
              <w:rPr>
                <w:b/>
                <w:sz w:val="20"/>
              </w:rPr>
              <w:t>470</w:t>
            </w:r>
          </w:p>
        </w:tc>
        <w:tc>
          <w:tcPr>
            <w:tcW w:type="dxa" w:w="2340"/>
          </w:tcPr>
          <w:p>
            <w:pPr>
              <w:spacing w:after="0"/>
            </w:pPr>
            <w:r/>
            <w:r>
              <w:rPr>
                <w:b w:val="0"/>
                <w:sz w:val="20"/>
              </w:rPr>
              <w:t>Same.</w:t>
            </w:r>
          </w:p>
        </w:tc>
      </w:tr>
      <w:tr>
        <w:tc>
          <w:tcPr>
            <w:tcW w:type="dxa" w:w="2340"/>
          </w:tcPr>
          <w:p>
            <w:pPr>
              <w:spacing w:after="0"/>
            </w:pPr>
            <w:r/>
            <w:r>
              <w:rPr>
                <w:b w:val="0"/>
                <w:sz w:val="20"/>
              </w:rPr>
              <w:t>430</w:t>
            </w:r>
          </w:p>
        </w:tc>
        <w:tc>
          <w:tcPr>
            <w:tcW w:type="dxa" w:w="2340"/>
          </w:tcPr>
          <w:p>
            <w:pPr>
              <w:spacing w:after="0"/>
            </w:pPr>
            <w:r/>
            <w:r>
              <w:rPr>
                <w:b w:val="0"/>
                <w:sz w:val="20"/>
              </w:rPr>
              <w:t>Exemptions and Thank You (handwritten)</w:t>
            </w:r>
          </w:p>
        </w:tc>
        <w:tc>
          <w:tcPr>
            <w:tcW w:type="dxa" w:w="2340"/>
          </w:tcPr>
          <w:p>
            <w:pPr>
              <w:spacing w:after="0"/>
            </w:pPr>
            <w:r/>
            <w:r>
              <w:rPr>
                <w:b/>
                <w:sz w:val="20"/>
              </w:rPr>
              <w:t>480</w:t>
            </w:r>
          </w:p>
        </w:tc>
        <w:tc>
          <w:tcPr>
            <w:tcW w:type="dxa" w:w="2340"/>
          </w:tcPr>
          <w:p>
            <w:pPr>
              <w:spacing w:after="0"/>
            </w:pPr>
            <w:r/>
            <w:r>
              <w:rPr>
                <w:b w:val="0"/>
                <w:sz w:val="20"/>
              </w:rPr>
              <w:t>Agent reminder to send the card. Not an Autopilot client email.</w:t>
            </w:r>
          </w:p>
        </w:tc>
      </w:tr>
      <w:tr>
        <w:tc>
          <w:tcPr>
            <w:tcW w:type="dxa" w:w="2340"/>
          </w:tcPr>
          <w:p>
            <w:pPr>
              <w:spacing w:after="0"/>
            </w:pPr>
            <w:r/>
            <w:r>
              <w:rPr>
                <w:b w:val="0"/>
                <w:sz w:val="20"/>
              </w:rPr>
              <w:t>440</w:t>
            </w:r>
          </w:p>
        </w:tc>
        <w:tc>
          <w:tcPr>
            <w:tcW w:type="dxa" w:w="2340"/>
          </w:tcPr>
          <w:p>
            <w:pPr>
              <w:spacing w:after="0"/>
            </w:pPr>
            <w:r/>
            <w:r>
              <w:rPr>
                <w:b w:val="0"/>
                <w:sz w:val="20"/>
              </w:rPr>
              <w:t>Thank You (handwritten)</w:t>
            </w:r>
          </w:p>
        </w:tc>
        <w:tc>
          <w:tcPr>
            <w:tcW w:type="dxa" w:w="2340"/>
          </w:tcPr>
          <w:p>
            <w:pPr>
              <w:spacing w:after="0"/>
            </w:pPr>
            <w:r/>
            <w:r>
              <w:rPr>
                <w:b/>
                <w:sz w:val="20"/>
              </w:rPr>
              <w:t>490</w:t>
            </w:r>
          </w:p>
        </w:tc>
        <w:tc>
          <w:tcPr>
            <w:tcW w:type="dxa" w:w="2340"/>
          </w:tcPr>
          <w:p>
            <w:pPr>
              <w:spacing w:after="0"/>
            </w:pPr>
            <w:r/>
            <w:r>
              <w:rPr>
                <w:b w:val="0"/>
                <w:sz w:val="20"/>
              </w:rPr>
              <w:t>Same, seller.</w:t>
            </w:r>
          </w:p>
        </w:tc>
      </w:tr>
      <w:tr>
        <w:tc>
          <w:tcPr>
            <w:tcW w:type="dxa" w:w="2340"/>
          </w:tcPr>
          <w:p>
            <w:pPr>
              <w:spacing w:after="0"/>
            </w:pPr>
            <w:r/>
            <w:r>
              <w:rPr>
                <w:b w:val="0"/>
                <w:sz w:val="20"/>
              </w:rPr>
              <w:t>450</w:t>
            </w:r>
          </w:p>
        </w:tc>
        <w:tc>
          <w:tcPr>
            <w:tcW w:type="dxa" w:w="2340"/>
          </w:tcPr>
          <w:p>
            <w:pPr>
              <w:spacing w:after="0"/>
            </w:pPr>
            <w:r/>
            <w:r>
              <w:rPr>
                <w:b w:val="0"/>
                <w:sz w:val="20"/>
              </w:rPr>
              <w:t>Internal Thank You (agent)</w:t>
            </w:r>
          </w:p>
        </w:tc>
        <w:tc>
          <w:tcPr>
            <w:tcW w:type="dxa" w:w="2340"/>
          </w:tcPr>
          <w:p>
            <w:pPr>
              <w:spacing w:after="0"/>
            </w:pPr>
            <w:r/>
            <w:r>
              <w:rPr>
                <w:b/>
                <w:sz w:val="20"/>
              </w:rPr>
              <w:t>500</w:t>
            </w:r>
          </w:p>
        </w:tc>
        <w:tc>
          <w:tcPr>
            <w:tcW w:type="dxa" w:w="2340"/>
          </w:tcPr>
          <w:p>
            <w:pPr>
              <w:spacing w:after="0"/>
            </w:pPr>
            <w:r/>
            <w:r>
              <w:rPr>
                <w:b w:val="0"/>
                <w:sz w:val="20"/>
              </w:rPr>
              <w:t>Feedback email, not 10% off / first-file-free. May send on Autopilot as the Velvet Elves thank-you.</w:t>
            </w:r>
          </w:p>
        </w:tc>
      </w:tr>
      <w:tr>
        <w:tc>
          <w:tcPr>
            <w:tcW w:type="dxa" w:w="2340"/>
          </w:tcPr>
          <w:p>
            <w:pPr>
              <w:spacing w:after="0"/>
            </w:pPr>
            <w:r/>
            <w:r>
              <w:rPr>
                <w:b w:val="0"/>
                <w:sz w:val="20"/>
              </w:rPr>
              <w:t>460</w:t>
            </w:r>
          </w:p>
        </w:tc>
        <w:tc>
          <w:tcPr>
            <w:tcW w:type="dxa" w:w="2340"/>
          </w:tcPr>
          <w:p>
            <w:pPr>
              <w:spacing w:after="0"/>
            </w:pPr>
            <w:r/>
            <w:r>
              <w:rPr>
                <w:b w:val="0"/>
                <w:sz w:val="20"/>
              </w:rPr>
              <w:t>Internal Thank You (co-op)</w:t>
            </w:r>
          </w:p>
        </w:tc>
        <w:tc>
          <w:tcPr>
            <w:tcW w:type="dxa" w:w="2340"/>
          </w:tcPr>
          <w:p>
            <w:pPr>
              <w:spacing w:after="0"/>
            </w:pPr>
            <w:r/>
            <w:r>
              <w:rPr>
                <w:b/>
                <w:sz w:val="20"/>
              </w:rPr>
              <w:t>510</w:t>
            </w:r>
          </w:p>
        </w:tc>
        <w:tc>
          <w:tcPr>
            <w:tcW w:type="dxa" w:w="2340"/>
          </w:tcPr>
          <w:p>
            <w:pPr>
              <w:spacing w:after="0"/>
            </w:pPr>
            <w:r/>
            <w:r>
              <w:rPr>
                <w:b w:val="0"/>
                <w:sz w:val="20"/>
              </w:rPr>
              <w:t>Same.</w:t>
            </w:r>
          </w:p>
        </w:tc>
      </w:tr>
      <w:tr>
        <w:tc>
          <w:tcPr>
            <w:tcW w:type="dxa" w:w="2340"/>
          </w:tcPr>
          <w:p>
            <w:pPr>
              <w:spacing w:after="0"/>
            </w:pPr>
            <w:r/>
            <w:r>
              <w:rPr>
                <w:b w:val="0"/>
                <w:sz w:val="20"/>
              </w:rPr>
              <w:t>470</w:t>
            </w:r>
          </w:p>
        </w:tc>
        <w:tc>
          <w:tcPr>
            <w:tcW w:type="dxa" w:w="2340"/>
          </w:tcPr>
          <w:p>
            <w:pPr>
              <w:spacing w:after="0"/>
            </w:pPr>
            <w:r/>
            <w:r>
              <w:rPr>
                <w:b w:val="0"/>
                <w:sz w:val="20"/>
              </w:rPr>
              <w:t>Schedule Pick Up of Sign and Lockbox</w:t>
            </w:r>
          </w:p>
        </w:tc>
        <w:tc>
          <w:tcPr>
            <w:tcW w:type="dxa" w:w="2340"/>
          </w:tcPr>
          <w:p>
            <w:pPr>
              <w:spacing w:after="0"/>
            </w:pPr>
            <w:r/>
            <w:r>
              <w:rPr>
                <w:b/>
                <w:sz w:val="20"/>
              </w:rPr>
              <w:t>453</w:t>
            </w:r>
          </w:p>
        </w:tc>
        <w:tc>
          <w:tcPr>
            <w:tcW w:type="dxa" w:w="2340"/>
          </w:tcPr>
          <w:p>
            <w:pPr>
              <w:spacing w:after="0"/>
            </w:pPr>
            <w:r/>
            <w:r>
              <w:rPr>
                <w:b w:val="0"/>
                <w:sz w:val="20"/>
              </w:rPr>
              <w:t>Keep 453. Apply sheet timing: SS closing / −5 days. TC on copy.</w:t>
            </w:r>
          </w:p>
        </w:tc>
      </w:tr>
      <w:tr>
        <w:tc>
          <w:tcPr>
            <w:tcW w:type="dxa" w:w="2340"/>
          </w:tcPr>
          <w:p>
            <w:pPr>
              <w:spacing w:after="0"/>
            </w:pPr>
            <w:r/>
            <w:r>
              <w:rPr>
                <w:b w:val="0"/>
                <w:sz w:val="20"/>
              </w:rPr>
              <w:t>480</w:t>
            </w:r>
          </w:p>
        </w:tc>
        <w:tc>
          <w:tcPr>
            <w:tcW w:type="dxa" w:w="2340"/>
          </w:tcPr>
          <w:p>
            <w:pPr>
              <w:spacing w:after="0"/>
            </w:pPr>
            <w:r/>
            <w:r>
              <w:rPr>
                <w:b w:val="0"/>
                <w:sz w:val="20"/>
              </w:rPr>
              <w:t>Change MLS Listing Status to Sold</w:t>
            </w:r>
          </w:p>
        </w:tc>
        <w:tc>
          <w:tcPr>
            <w:tcW w:type="dxa" w:w="2340"/>
          </w:tcPr>
          <w:p>
            <w:pPr>
              <w:spacing w:after="0"/>
            </w:pPr>
            <w:r/>
            <w:r>
              <w:rPr>
                <w:b/>
                <w:sz w:val="20"/>
              </w:rPr>
              <w:t>455</w:t>
            </w:r>
          </w:p>
        </w:tc>
        <w:tc>
          <w:tcPr>
            <w:tcW w:type="dxa" w:w="2340"/>
          </w:tcPr>
          <w:p>
            <w:pPr>
              <w:spacing w:after="0"/>
            </w:pPr>
            <w:r/>
            <w:r>
              <w:rPr>
                <w:b w:val="0"/>
                <w:sz w:val="20"/>
              </w:rPr>
              <w:t>Keep 455. Apply sheet timing: SS closing / +1 day. TC on copy.</w:t>
            </w:r>
          </w:p>
        </w:tc>
      </w:tr>
      <w:tr>
        <w:tc>
          <w:tcPr>
            <w:tcW w:type="dxa" w:w="2340"/>
          </w:tcPr>
          <w:p>
            <w:pPr>
              <w:spacing w:after="0"/>
            </w:pPr>
            <w:r/>
            <w:r>
              <w:rPr>
                <w:b w:val="0"/>
                <w:sz w:val="20"/>
              </w:rPr>
              <w:t>1010</w:t>
            </w:r>
          </w:p>
        </w:tc>
        <w:tc>
          <w:tcPr>
            <w:tcW w:type="dxa" w:w="2340"/>
          </w:tcPr>
          <w:p>
            <w:pPr>
              <w:spacing w:after="0"/>
            </w:pPr>
            <w:r/>
            <w:r>
              <w:rPr>
                <w:b w:val="0"/>
                <w:sz w:val="20"/>
              </w:rPr>
              <w:t>End of Year Exemption Reminder</w:t>
            </w:r>
          </w:p>
        </w:tc>
        <w:tc>
          <w:tcPr>
            <w:tcW w:type="dxa" w:w="2340"/>
          </w:tcPr>
          <w:p>
            <w:pPr>
              <w:spacing w:after="0"/>
            </w:pPr>
            <w:r/>
            <w:r>
              <w:rPr>
                <w:b/>
                <w:sz w:val="20"/>
              </w:rPr>
              <w:t>1010</w:t>
            </w:r>
            <w:r>
              <w:rPr>
                <w:b w:val="0"/>
                <w:sz w:val="20"/>
              </w:rPr>
              <w:t xml:space="preserve"> (new)</w:t>
            </w:r>
          </w:p>
        </w:tc>
        <w:tc>
          <w:tcPr>
            <w:tcW w:type="dxa" w:w="2340"/>
          </w:tcPr>
          <w:p>
            <w:pPr>
              <w:spacing w:after="0"/>
            </w:pPr>
            <w:r/>
            <w:r>
              <w:rPr>
                <w:b w:val="0"/>
                <w:sz w:val="20"/>
              </w:rPr>
              <w:t>New blast job. Not a per-deal row on every file.</w:t>
            </w:r>
          </w:p>
        </w:tc>
      </w:tr>
      <w:tr>
        <w:tc>
          <w:tcPr>
            <w:tcW w:type="dxa" w:w="2340"/>
          </w:tcPr>
          <w:p>
            <w:pPr>
              <w:spacing w:after="0"/>
            </w:pPr>
            <w:r/>
            <w:r>
              <w:rPr>
                <w:b w:val="0"/>
                <w:sz w:val="20"/>
              </w:rPr>
              <w:t>265</w:t>
            </w:r>
          </w:p>
        </w:tc>
        <w:tc>
          <w:tcPr>
            <w:tcW w:type="dxa" w:w="2340"/>
          </w:tcPr>
          <w:p>
            <w:pPr>
              <w:spacing w:after="0"/>
            </w:pPr>
            <w:r/>
            <w:r>
              <w:rPr>
                <w:b w:val="0"/>
                <w:sz w:val="20"/>
              </w:rPr>
              <w:t>Appraisal Ordered (Buy-Cash)</w:t>
            </w:r>
          </w:p>
        </w:tc>
        <w:tc>
          <w:tcPr>
            <w:tcW w:type="dxa" w:w="2340"/>
          </w:tcPr>
          <w:p>
            <w:pPr>
              <w:spacing w:after="0"/>
            </w:pPr>
            <w:r/>
            <w:r>
              <w:rPr>
                <w:b/>
                <w:sz w:val="20"/>
              </w:rPr>
              <w:t>265</w:t>
            </w:r>
          </w:p>
        </w:tc>
        <w:tc>
          <w:tcPr>
            <w:tcW w:type="dxa" w:w="2340"/>
          </w:tcPr>
          <w:p>
            <w:pPr>
              <w:spacing w:after="0"/>
            </w:pPr>
            <w:r/>
            <w:r>
              <w:rPr>
                <w:b w:val="0"/>
                <w:sz w:val="20"/>
              </w:rPr>
              <w:t>Narrow 265 to Buy-Cash → buyer. Today it also covers Sell-Cash.</w:t>
            </w:r>
          </w:p>
        </w:tc>
      </w:tr>
      <w:tr>
        <w:tc>
          <w:tcPr>
            <w:tcW w:type="dxa" w:w="2340"/>
          </w:tcPr>
          <w:p>
            <w:pPr>
              <w:spacing w:after="0"/>
            </w:pPr>
            <w:r/>
            <w:r>
              <w:rPr>
                <w:b w:val="0"/>
                <w:sz w:val="20"/>
              </w:rPr>
              <w:t>267</w:t>
            </w:r>
          </w:p>
        </w:tc>
        <w:tc>
          <w:tcPr>
            <w:tcW w:type="dxa" w:w="2340"/>
          </w:tcPr>
          <w:p>
            <w:pPr>
              <w:spacing w:after="0"/>
            </w:pPr>
            <w:r/>
            <w:r>
              <w:rPr>
                <w:b w:val="0"/>
                <w:sz w:val="20"/>
              </w:rPr>
              <w:t>Appraisal Ordered (Sell-Cash)</w:t>
            </w:r>
          </w:p>
        </w:tc>
        <w:tc>
          <w:tcPr>
            <w:tcW w:type="dxa" w:w="2340"/>
          </w:tcPr>
          <w:p>
            <w:pPr>
              <w:spacing w:after="0"/>
            </w:pPr>
            <w:r/>
            <w:r>
              <w:rPr>
                <w:b/>
                <w:sz w:val="20"/>
              </w:rPr>
              <w:t>267</w:t>
            </w:r>
            <w:r>
              <w:rPr>
                <w:b w:val="0"/>
                <w:sz w:val="20"/>
              </w:rPr>
              <w:t xml:space="preserve"> (new)</w:t>
            </w:r>
          </w:p>
        </w:tc>
        <w:tc>
          <w:tcPr>
            <w:tcW w:type="dxa" w:w="2340"/>
          </w:tcPr>
          <w:p>
            <w:pPr>
              <w:spacing w:after="0"/>
            </w:pPr>
            <w:r/>
            <w:r>
              <w:rPr>
                <w:b w:val="0"/>
                <w:sz w:val="20"/>
              </w:rPr>
              <w:t>New row. To = co-op agent. FS / 5 / +3.</w:t>
            </w:r>
          </w:p>
        </w:tc>
      </w:tr>
      <w:tr>
        <w:tc>
          <w:tcPr>
            <w:tcW w:type="dxa" w:w="2340"/>
          </w:tcPr>
          <w:p>
            <w:pPr>
              <w:spacing w:after="0"/>
            </w:pPr>
            <w:r/>
            <w:r>
              <w:rPr>
                <w:b w:val="0"/>
                <w:sz w:val="20"/>
              </w:rPr>
              <w:t>271</w:t>
            </w:r>
          </w:p>
        </w:tc>
        <w:tc>
          <w:tcPr>
            <w:tcW w:type="dxa" w:w="2340"/>
          </w:tcPr>
          <w:p>
            <w:pPr>
              <w:spacing w:after="0"/>
            </w:pPr>
            <w:r/>
            <w:r>
              <w:rPr>
                <w:b w:val="0"/>
                <w:sz w:val="20"/>
              </w:rPr>
              <w:t>Appraisal Completed (Buy-Cash)</w:t>
            </w:r>
          </w:p>
        </w:tc>
        <w:tc>
          <w:tcPr>
            <w:tcW w:type="dxa" w:w="2340"/>
          </w:tcPr>
          <w:p>
            <w:pPr>
              <w:spacing w:after="0"/>
            </w:pPr>
            <w:r/>
            <w:r>
              <w:rPr>
                <w:b/>
                <w:sz w:val="20"/>
              </w:rPr>
              <w:t>271</w:t>
            </w:r>
          </w:p>
        </w:tc>
        <w:tc>
          <w:tcPr>
            <w:tcW w:type="dxa" w:w="2340"/>
          </w:tcPr>
          <w:p>
            <w:pPr>
              <w:spacing w:after="0"/>
            </w:pPr>
            <w:r/>
            <w:r>
              <w:rPr>
                <w:b w:val="0"/>
                <w:sz w:val="20"/>
              </w:rPr>
              <w:t>Narrow 271 to Buy-Cash → buyer. Today it also covers Sell-Cash.</w:t>
            </w:r>
          </w:p>
        </w:tc>
      </w:tr>
      <w:tr>
        <w:tc>
          <w:tcPr>
            <w:tcW w:type="dxa" w:w="2340"/>
          </w:tcPr>
          <w:p>
            <w:pPr>
              <w:spacing w:after="0"/>
            </w:pPr>
            <w:r/>
            <w:r>
              <w:rPr>
                <w:b w:val="0"/>
                <w:sz w:val="20"/>
              </w:rPr>
              <w:t>275</w:t>
            </w:r>
          </w:p>
        </w:tc>
        <w:tc>
          <w:tcPr>
            <w:tcW w:type="dxa" w:w="2340"/>
          </w:tcPr>
          <w:p>
            <w:pPr>
              <w:spacing w:after="0"/>
            </w:pPr>
            <w:r/>
            <w:r>
              <w:rPr>
                <w:b w:val="0"/>
                <w:sz w:val="20"/>
              </w:rPr>
              <w:t>Appraisal Completed (Sell-Cash)</w:t>
            </w:r>
          </w:p>
        </w:tc>
        <w:tc>
          <w:tcPr>
            <w:tcW w:type="dxa" w:w="2340"/>
          </w:tcPr>
          <w:p>
            <w:pPr>
              <w:spacing w:after="0"/>
            </w:pPr>
            <w:r/>
            <w:r>
              <w:rPr>
                <w:b/>
                <w:sz w:val="20"/>
              </w:rPr>
              <w:t>275</w:t>
            </w:r>
            <w:r>
              <w:rPr>
                <w:b w:val="0"/>
                <w:sz w:val="20"/>
              </w:rPr>
              <w:t xml:space="preserve"> (new)</w:t>
            </w:r>
          </w:p>
        </w:tc>
        <w:tc>
          <w:tcPr>
            <w:tcW w:type="dxa" w:w="2340"/>
          </w:tcPr>
          <w:p>
            <w:pPr>
              <w:spacing w:after="0"/>
            </w:pPr>
            <w:r/>
            <w:r>
              <w:rPr>
                <w:b w:val="0"/>
                <w:sz w:val="20"/>
              </w:rPr>
              <w:t>New row. To = co-op agent. SS / 1000 / −15.</w:t>
            </w:r>
          </w:p>
        </w:tc>
      </w:tr>
      <w:tr>
        <w:tc>
          <w:tcPr>
            <w:tcW w:type="dxa" w:w="2340"/>
          </w:tcPr>
          <w:p>
            <w:pPr>
              <w:spacing w:after="0"/>
            </w:pPr>
            <w:r/>
            <w:r>
              <w:rPr>
                <w:b w:val="0"/>
                <w:sz w:val="20"/>
              </w:rPr>
              <w:t>250</w:t>
            </w:r>
          </w:p>
        </w:tc>
        <w:tc>
          <w:tcPr>
            <w:tcW w:type="dxa" w:w="2340"/>
          </w:tcPr>
          <w:p>
            <w:pPr>
              <w:spacing w:after="0"/>
            </w:pPr>
            <w:r/>
            <w:r>
              <w:rPr>
                <w:b w:val="0"/>
                <w:sz w:val="20"/>
              </w:rPr>
              <w:t>Inspection Negotiated (buy)</w:t>
            </w:r>
          </w:p>
        </w:tc>
        <w:tc>
          <w:tcPr>
            <w:tcW w:type="dxa" w:w="2340"/>
          </w:tcPr>
          <w:p>
            <w:pPr>
              <w:spacing w:after="0"/>
            </w:pPr>
            <w:r/>
            <w:r>
              <w:rPr>
                <w:b/>
                <w:sz w:val="20"/>
              </w:rPr>
              <w:t>250</w:t>
            </w:r>
          </w:p>
        </w:tc>
        <w:tc>
          <w:tcPr>
            <w:tcW w:type="dxa" w:w="2340"/>
          </w:tcPr>
          <w:p>
            <w:pPr>
              <w:spacing w:after="0"/>
            </w:pPr>
            <w:r/>
            <w:r>
              <w:rPr>
                <w:b w:val="0"/>
                <w:sz w:val="20"/>
              </w:rPr>
              <w:t>Narrow 250 to Buy-Fin / Buy-Cash (today it is on all four use cases).</w:t>
            </w:r>
          </w:p>
        </w:tc>
      </w:tr>
      <w:tr>
        <w:tc>
          <w:tcPr>
            <w:tcW w:type="dxa" w:w="2340"/>
          </w:tcPr>
          <w:p>
            <w:pPr>
              <w:spacing w:after="0"/>
            </w:pPr>
            <w:r/>
            <w:r>
              <w:rPr>
                <w:b w:val="0"/>
                <w:sz w:val="20"/>
              </w:rPr>
              <w:t>255</w:t>
            </w:r>
          </w:p>
        </w:tc>
        <w:tc>
          <w:tcPr>
            <w:tcW w:type="dxa" w:w="2340"/>
          </w:tcPr>
          <w:p>
            <w:pPr>
              <w:spacing w:after="0"/>
            </w:pPr>
            <w:r/>
            <w:r>
              <w:rPr>
                <w:b w:val="0"/>
                <w:sz w:val="20"/>
              </w:rPr>
              <w:t>Inspection Negotiated (sell)</w:t>
            </w:r>
          </w:p>
        </w:tc>
        <w:tc>
          <w:tcPr>
            <w:tcW w:type="dxa" w:w="2340"/>
          </w:tcPr>
          <w:p>
            <w:pPr>
              <w:spacing w:after="0"/>
            </w:pPr>
            <w:r/>
            <w:r>
              <w:rPr>
                <w:b/>
                <w:sz w:val="20"/>
              </w:rPr>
              <w:t>257</w:t>
            </w:r>
          </w:p>
        </w:tc>
        <w:tc>
          <w:tcPr>
            <w:tcW w:type="dxa" w:w="2340"/>
          </w:tcPr>
          <w:p>
            <w:pPr>
              <w:spacing w:after="0"/>
            </w:pPr>
            <w:r/>
            <w:r>
              <w:rPr>
                <w:b w:val="0"/>
                <w:sz w:val="20"/>
              </w:rPr>
              <w:t>Live seller row is already 257. Sheet 255 maps here. Stop generating the extra live 255 (buyer duplicate).</w:t>
            </w:r>
          </w:p>
        </w:tc>
      </w:tr>
      <w:tr>
        <w:tc>
          <w:tcPr>
            <w:tcW w:type="dxa" w:w="2340"/>
          </w:tcPr>
          <w:p>
            <w:pPr>
              <w:spacing w:after="0"/>
            </w:pPr>
            <w:r/>
            <w:r>
              <w:rPr>
                <w:b w:val="0"/>
                <w:sz w:val="20"/>
              </w:rPr>
              <w:t>—</w:t>
            </w:r>
          </w:p>
        </w:tc>
        <w:tc>
          <w:tcPr>
            <w:tcW w:type="dxa" w:w="2340"/>
          </w:tcPr>
          <w:p>
            <w:pPr>
              <w:spacing w:after="0"/>
            </w:pPr>
            <w:r/>
            <w:r>
              <w:rPr>
                <w:b w:val="0"/>
                <w:sz w:val="20"/>
              </w:rPr>
              <w:t>Inspection Completed (seller)</w:t>
            </w:r>
          </w:p>
        </w:tc>
        <w:tc>
          <w:tcPr>
            <w:tcW w:type="dxa" w:w="2340"/>
          </w:tcPr>
          <w:p>
            <w:pPr>
              <w:spacing w:after="0"/>
            </w:pPr>
            <w:r/>
            <w:r>
              <w:rPr>
                <w:b/>
                <w:sz w:val="20"/>
              </w:rPr>
              <w:t>235</w:t>
            </w:r>
          </w:p>
        </w:tc>
        <w:tc>
          <w:tcPr>
            <w:tcW w:type="dxa" w:w="2340"/>
          </w:tcPr>
          <w:p>
            <w:pPr>
              <w:spacing w:after="0"/>
            </w:pPr>
            <w:r/>
            <w:r>
              <w:rPr>
                <w:b w:val="0"/>
                <w:sz w:val="20"/>
              </w:rPr>
              <w:t>Drop for new files. Sellers do not have inspections. Leave any open 235 on live files until the agent completes it.</w:t>
            </w:r>
          </w:p>
        </w:tc>
      </w:tr>
      <w:tr>
        <w:tc>
          <w:tcPr>
            <w:tcW w:type="dxa" w:w="2340"/>
          </w:tcPr>
          <w:p>
            <w:pPr>
              <w:spacing w:after="0"/>
            </w:pPr>
            <w:r/>
            <w:r>
              <w:rPr>
                <w:b w:val="0"/>
                <w:sz w:val="20"/>
              </w:rPr>
              <w:t>95, 115, 135, 155, 215, 305, 375, 505</w:t>
            </w:r>
          </w:p>
        </w:tc>
        <w:tc>
          <w:tcPr>
            <w:tcW w:type="dxa" w:w="2340"/>
          </w:tcPr>
          <w:p>
            <w:pPr>
              <w:spacing w:after="0"/>
            </w:pPr>
            <w:r/>
            <w:r>
              <w:rPr>
                <w:b w:val="0"/>
                <w:sz w:val="20"/>
              </w:rPr>
              <w:t>Both-only extras</w:t>
            </w:r>
          </w:p>
        </w:tc>
        <w:tc>
          <w:tcPr>
            <w:tcW w:type="dxa" w:w="2340"/>
          </w:tcPr>
          <w:p>
            <w:pPr>
              <w:spacing w:after="0"/>
            </w:pPr>
            <w:r/>
            <w:r>
              <w:rPr>
                <w:b w:val="0"/>
                <w:sz w:val="20"/>
              </w:rPr>
              <w:t>those IDs</w:t>
            </w:r>
          </w:p>
        </w:tc>
        <w:tc>
          <w:tcPr>
            <w:tcW w:type="dxa" w:w="2340"/>
          </w:tcPr>
          <w:p>
            <w:pPr>
              <w:spacing w:after="0"/>
            </w:pPr>
            <w:r/>
            <w:r>
              <w:rPr>
                <w:b w:val="0"/>
                <w:sz w:val="20"/>
              </w:rPr>
              <w:t>Stop generating. Question 1 replaces them. Leave any that already exist on live files.</w:t>
            </w:r>
          </w:p>
        </w:tc>
      </w:tr>
      <w:tr>
        <w:tc>
          <w:tcPr>
            <w:tcW w:type="dxa" w:w="2340"/>
          </w:tcPr>
          <w:p>
            <w:pPr>
              <w:spacing w:after="0"/>
            </w:pPr>
            <w:r/>
            <w:r>
              <w:rPr>
                <w:b w:val="0"/>
                <w:sz w:val="20"/>
              </w:rPr>
              <w:t>900s</w:t>
            </w:r>
          </w:p>
        </w:tc>
        <w:tc>
          <w:tcPr>
            <w:tcW w:type="dxa" w:w="2340"/>
          </w:tcPr>
          <w:p>
            <w:pPr>
              <w:spacing w:after="0"/>
            </w:pPr>
            <w:r/>
            <w:r>
              <w:rPr>
                <w:b w:val="0"/>
                <w:sz w:val="20"/>
              </w:rPr>
              <w:t>Attorney-closing path</w:t>
            </w:r>
          </w:p>
        </w:tc>
        <w:tc>
          <w:tcPr>
            <w:tcW w:type="dxa" w:w="2340"/>
          </w:tcPr>
          <w:p>
            <w:pPr>
              <w:spacing w:after="0"/>
            </w:pPr>
            <w:r/>
            <w:r>
              <w:rPr>
                <w:b w:val="0"/>
                <w:sz w:val="20"/>
              </w:rPr>
              <w:t>900–970</w:t>
            </w:r>
          </w:p>
        </w:tc>
        <w:tc>
          <w:tcPr>
            <w:tcW w:type="dxa" w:w="2340"/>
          </w:tcPr>
          <w:p>
            <w:pPr>
              <w:spacing w:after="0"/>
            </w:pPr>
            <w:r/>
            <w:r>
              <w:rPr>
                <w:b w:val="0"/>
                <w:sz w:val="20"/>
              </w:rPr>
              <w:t>Keep. This spreadsheet is the title/escrow path.</w:t>
            </w:r>
          </w:p>
        </w:tc>
      </w:tr>
    </w:tbl>
    <w:p/>
    <w:p>
      <w:pPr>
        <w:spacing w:after="80"/>
      </w:pPr>
      <w:r>
        <w:rPr>
          <w:b w:val="0"/>
          <w:sz w:val="20"/>
        </w:rPr>
        <w:t xml:space="preserve">Confirm Title Order stays live </w:t>
      </w:r>
      <w:r>
        <w:rPr>
          <w:b/>
          <w:sz w:val="20"/>
        </w:rPr>
        <w:t>80</w:t>
      </w:r>
      <w:r>
        <w:rPr>
          <w:b w:val="0"/>
          <w:sz w:val="20"/>
        </w:rPr>
        <w:t>. The *behavior* changes (Question 2). The ID does not.</w:t>
      </w:r>
    </w:p>
    <w:p>
      <w:pPr>
        <w:spacing w:after="120"/>
      </w:pPr>
    </w:p>
    <w:p>
      <w:pPr>
        <w:pStyle w:val="Heading1"/>
        <w:spacing w:after="120" w:before="360"/>
      </w:pPr>
      <w:r>
        <w:t>Autopilot grant (Question 3)</w:t>
      </w:r>
    </w:p>
    <w:p>
      <w:pPr>
        <w:spacing w:after="80"/>
      </w:pPr>
      <w:r>
        <w:rPr>
          <w:b w:val="0"/>
          <w:sz w:val="20"/>
        </w:rPr>
        <w:t>Until this sheet, unattended letters were: Buyer / Seller / Co-op / Loan Officer welcome, Order Title, Confirm Title Order, Pending Reminder, Inspection Response Reminder.</w:t>
      </w:r>
    </w:p>
    <w:p>
      <w:pPr>
        <w:spacing w:after="80"/>
      </w:pPr>
      <w:r>
        <w:rPr>
          <w:b w:val="0"/>
          <w:sz w:val="20"/>
        </w:rPr>
        <w:t>Audri’s grant, in product language:</w:t>
      </w:r>
    </w:p>
    <w:p>
      <w:pPr>
        <w:spacing w:after="40"/>
        <w:ind w:left="357" w:hanging="255"/>
      </w:pPr>
      <w:r>
        <w:rPr>
          <w:b w:val="0"/>
          <w:sz w:val="20"/>
        </w:rPr>
        <w:t xml:space="preserve">1. </w:t>
      </w:r>
      <w:r>
        <w:rPr>
          <w:b/>
          <w:sz w:val="20"/>
        </w:rPr>
        <w:t>Request</w:t>
      </w:r>
      <w:r>
        <w:rPr>
          <w:b w:val="0"/>
          <w:sz w:val="20"/>
        </w:rPr>
        <w:t xml:space="preserve"> letters may send on Autopilot. They ask the target for a fact (for example Clear to Close: “have you received CTC? if not, when?”). Aime completes the task on a yes, or reschedules to the date they give and follows up.</w:t>
      </w:r>
    </w:p>
    <w:p>
      <w:pPr>
        <w:spacing w:after="40"/>
        <w:ind w:left="357" w:hanging="255"/>
      </w:pPr>
      <w:r>
        <w:rPr>
          <w:b w:val="0"/>
          <w:sz w:val="20"/>
        </w:rPr>
        <w:t xml:space="preserve">2. </w:t>
      </w:r>
      <w:r>
        <w:rPr>
          <w:b/>
          <w:sz w:val="20"/>
        </w:rPr>
        <w:t>Deliver</w:t>
      </w:r>
      <w:r>
        <w:rPr>
          <w:b w:val="0"/>
          <w:sz w:val="20"/>
        </w:rPr>
        <w:t xml:space="preserve"> letters send only after Aime has the requested attachment or the info in the reply (HOA and title = attachment; utilities may be attachment or pasted into the letter). If confidence is low, Autopilot behaves like Assisted: draft, notify the agent/TC, do not send.</w:t>
      </w:r>
    </w:p>
    <w:p>
      <w:pPr>
        <w:spacing w:after="40"/>
        <w:ind w:left="357" w:hanging="255"/>
      </w:pPr>
      <w:r>
        <w:rPr>
          <w:b w:val="0"/>
          <w:sz w:val="20"/>
        </w:rPr>
        <w:t xml:space="preserve">3. </w:t>
      </w:r>
      <w:r>
        <w:rPr>
          <w:b w:val="0"/>
          <w:sz w:val="20"/>
        </w:rPr>
        <w:t>Named on Autopilot if we explain them to the agent: Clear to Close, Closing Disclosure Delivered, closing-information, Request Testimonials.</w:t>
      </w:r>
    </w:p>
    <w:p>
      <w:pPr>
        <w:spacing w:after="40"/>
        <w:ind w:left="357" w:hanging="255"/>
      </w:pPr>
      <w:r>
        <w:rPr>
          <w:b w:val="0"/>
          <w:sz w:val="20"/>
        </w:rPr>
        <w:t xml:space="preserve">4. </w:t>
      </w:r>
      <w:r>
        <w:rPr>
          <w:b w:val="0"/>
          <w:sz w:val="20"/>
        </w:rPr>
        <w:t>Internal Thank You is a Velvet Elves thank-you / feedback email, not a discount pitch.</w:t>
      </w:r>
    </w:p>
    <w:p>
      <w:pPr>
        <w:spacing w:after="40"/>
        <w:ind w:left="357" w:hanging="255"/>
      </w:pPr>
      <w:r>
        <w:rPr>
          <w:b w:val="0"/>
          <w:sz w:val="20"/>
        </w:rPr>
        <w:t xml:space="preserve">5. </w:t>
      </w:r>
      <w:r>
        <w:rPr>
          <w:b w:val="0"/>
          <w:sz w:val="20"/>
        </w:rPr>
        <w:t>Overnight review still trains from the cases that needed a tap.</w:t>
      </w:r>
    </w:p>
    <w:p>
      <w:pPr>
        <w:spacing w:after="80"/>
      </w:pPr>
      <w:r>
        <w:rPr>
          <w:b w:val="0"/>
          <w:sz w:val="20"/>
        </w:rPr>
        <w:t xml:space="preserve">Still </w:t>
      </w:r>
      <w:r>
        <w:rPr>
          <w:b/>
          <w:sz w:val="20"/>
        </w:rPr>
        <w:t>not</w:t>
      </w:r>
      <w:r>
        <w:rPr>
          <w:b w:val="0"/>
          <w:sz w:val="20"/>
        </w:rPr>
        <w:t xml:space="preserve"> unattended: Manual on any letter. Inspection *terms* (Aime never proposes repair credits). Handwritten thank-you cards (480 / 490). Order Home Warranty to a warranty company (170 is internal). Closing Gift (agent reminder).</w:t>
      </w:r>
    </w:p>
    <w:p>
      <w:pPr>
        <w:spacing w:after="80"/>
      </w:pPr>
      <w:r>
        <w:rPr>
          <w:b w:val="0"/>
          <w:sz w:val="20"/>
        </w:rPr>
        <w:t xml:space="preserve">Closing-information still </w:t>
      </w:r>
      <w:r>
        <w:rPr>
          <w:b/>
          <w:sz w:val="20"/>
        </w:rPr>
        <w:t>never</w:t>
      </w:r>
      <w:r>
        <w:rPr>
          <w:b w:val="0"/>
          <w:sz w:val="20"/>
        </w:rPr>
        <w:t xml:space="preserve"> attaches the Closing Disclosure.</w:t>
      </w:r>
    </w:p>
    <w:p>
      <w:pPr>
        <w:spacing w:after="120"/>
      </w:pPr>
    </w:p>
    <w:p>
      <w:pPr>
        <w:pStyle w:val="Heading1"/>
        <w:spacing w:after="120" w:before="360"/>
      </w:pPr>
      <w:r>
        <w:t>Cutover sequence</w:t>
      </w:r>
    </w:p>
    <w:p>
      <w:pPr>
        <w:spacing w:after="80"/>
      </w:pPr>
      <w:r>
        <w:rPr>
          <w:b w:val="0"/>
          <w:sz w:val="20"/>
        </w:rPr>
        <w:t>I will apply this in order so live files stay coherent:</w:t>
      </w:r>
    </w:p>
    <w:p>
      <w:pPr>
        <w:spacing w:after="40"/>
        <w:ind w:left="357" w:hanging="255"/>
      </w:pPr>
      <w:r>
        <w:rPr>
          <w:b w:val="0"/>
          <w:sz w:val="20"/>
        </w:rPr>
        <w:t xml:space="preserve">1. </w:t>
      </w:r>
      <w:r>
        <w:rPr>
          <w:b/>
          <w:sz w:val="20"/>
        </w:rPr>
        <w:t>Library in place</w:t>
      </w:r>
      <w:r>
        <w:rPr>
          <w:b w:val="0"/>
          <w:sz w:val="20"/>
        </w:rPr>
        <w:t xml:space="preserve"> — names, targets, CC from the row, date rules, 160 → co-op, 70/80 same package with personal-property / monetary amendments withheld on both, 80 script = courtesy order, dual-agency rule from Question 1, drop 235 for new files, cash split 265/267/271/275, map post-360 rows as above. No live-deal wipe.</w:t>
      </w:r>
    </w:p>
    <w:p>
      <w:pPr>
        <w:spacing w:after="40"/>
        <w:ind w:left="357" w:hanging="255"/>
      </w:pPr>
      <w:r>
        <w:rPr>
          <w:b w:val="0"/>
          <w:sz w:val="20"/>
        </w:rPr>
        <w:t xml:space="preserve">2. </w:t>
      </w:r>
      <w:r>
        <w:rPr>
          <w:b/>
          <w:sz w:val="20"/>
        </w:rPr>
        <w:t>Autopilot expansion</w:t>
      </w:r>
      <w:r>
        <w:rPr>
          <w:b w:val="0"/>
          <w:sz w:val="20"/>
        </w:rPr>
        <w:t xml:space="preserve"> — authorize the Question 3 request / deliver / CTC / CD / closing-information / testimonials / internal thank-you letters. Low confidence still drafts.</w:t>
      </w:r>
    </w:p>
    <w:p>
      <w:pPr>
        <w:spacing w:after="40"/>
        <w:ind w:left="357" w:hanging="255"/>
      </w:pPr>
      <w:r>
        <w:rPr>
          <w:b w:val="0"/>
          <w:sz w:val="20"/>
        </w:rPr>
        <w:t xml:space="preserve">3. </w:t>
      </w:r>
      <w:r>
        <w:rPr>
          <w:b/>
          <w:sz w:val="20"/>
        </w:rPr>
        <w:t>Timers</w:t>
      </w:r>
      <w:r>
        <w:rPr>
          <w:b w:val="0"/>
          <w:sz w:val="20"/>
        </w:rPr>
        <w:t xml:space="preserve"> — next-day 10am local follow-up on unanswered request letters (CC agent and TC). Three daily “step in” notices starting three days before a request is due, on Manual, Assisted, and Autopilot.</w:t>
      </w:r>
    </w:p>
    <w:p>
      <w:pPr>
        <w:spacing w:after="40"/>
        <w:ind w:left="357" w:hanging="255"/>
      </w:pPr>
      <w:r>
        <w:rPr>
          <w:b w:val="0"/>
          <w:sz w:val="20"/>
        </w:rPr>
        <w:t xml:space="preserve">4. </w:t>
      </w:r>
      <w:r>
        <w:rPr>
          <w:b/>
          <w:sz w:val="20"/>
        </w:rPr>
        <w:t>1010</w:t>
      </w:r>
      <w:r>
        <w:rPr>
          <w:b w:val="0"/>
          <w:sz w:val="20"/>
        </w:rPr>
        <w:t xml:space="preserve"> — December 1 job to buyers on files that </w:t>
      </w:r>
      <w:r>
        <w:rPr>
          <w:b/>
          <w:sz w:val="20"/>
        </w:rPr>
        <w:t>closed</w:t>
      </w:r>
      <w:r>
        <w:rPr>
          <w:b w:val="0"/>
          <w:sz w:val="20"/>
        </w:rPr>
        <w:t xml:space="preserve"> that calendar year. Copy uses that year’s December 31, not a hard-coded 2026. Manual does not send it unattended.</w:t>
      </w:r>
    </w:p>
    <w:p>
      <w:pPr>
        <w:spacing w:after="40"/>
        <w:ind w:left="357" w:hanging="255"/>
      </w:pPr>
      <w:r>
        <w:rPr>
          <w:b w:val="0"/>
          <w:sz w:val="20"/>
        </w:rPr>
        <w:t xml:space="preserve">5. </w:t>
      </w:r>
      <w:r>
        <w:rPr>
          <w:b/>
          <w:sz w:val="20"/>
        </w:rPr>
        <w:t>Later</w:t>
      </w:r>
      <w:r>
        <w:rPr>
          <w:b w:val="0"/>
          <w:sz w:val="20"/>
        </w:rPr>
        <w:t xml:space="preserve"> — title-cloud summary in Deliver Title (300 / 310 / 320).</w:t>
      </w:r>
    </w:p>
    <w:p>
      <w:pPr>
        <w:spacing w:after="80"/>
      </w:pPr>
      <w:r>
        <w:rPr>
          <w:b w:val="0"/>
          <w:sz w:val="20"/>
        </w:rPr>
        <w:t>Scripts Audri will provide (Question 8) slot into step 2 as they arrive. I will not wait on them to start step 1.</w:t>
      </w:r>
    </w:p>
    <w:p>
      <w:pPr>
        <w:spacing w:after="120"/>
      </w:pPr>
    </w:p>
    <w:p>
      <w:pPr>
        <w:pStyle w:val="Heading1"/>
        <w:spacing w:after="120" w:before="360"/>
      </w:pPr>
      <w:r>
        <w:t>Readings I will use (tell me if any is wrong)</w:t>
      </w:r>
    </w:p>
    <w:p>
      <w:pPr>
        <w:spacing w:after="80"/>
      </w:pPr>
      <w:r>
        <w:rPr>
          <w:b w:val="0"/>
          <w:sz w:val="20"/>
        </w:rPr>
        <w:t>These were not separate ticks. I am stating them so we do not silently guess.</w:t>
      </w:r>
    </w:p>
    <w:p>
      <w:pPr>
        <w:spacing w:after="40"/>
        <w:ind w:left="357" w:hanging="255"/>
      </w:pPr>
      <w:r>
        <w:rPr>
          <w:b w:val="0"/>
          <w:sz w:val="20"/>
        </w:rPr>
        <w:t xml:space="preserve">- </w:t>
      </w:r>
      <w:r>
        <w:rPr>
          <w:b/>
          <w:sz w:val="20"/>
        </w:rPr>
        <w:t>Dual agency and the co-op.</w:t>
      </w:r>
      <w:r>
        <w:rPr>
          <w:b w:val="0"/>
          <w:sz w:val="20"/>
        </w:rPr>
        <w:t xml:space="preserve"> A Both file has no co-op agent. Co-op-target tasks do not populate. Buyer-target and seller-target tasks both populate. Title and Loan Officer tasks populate once.</w:t>
      </w:r>
    </w:p>
    <w:p>
      <w:pPr>
        <w:spacing w:after="40"/>
        <w:ind w:left="357" w:hanging="255"/>
      </w:pPr>
      <w:r>
        <w:rPr>
          <w:b w:val="0"/>
          <w:sz w:val="20"/>
        </w:rPr>
        <w:t xml:space="preserve">- </w:t>
      </w:r>
      <w:r>
        <w:rPr>
          <w:b/>
          <w:sz w:val="20"/>
        </w:rPr>
        <w:t>70 / 80 attachments.</w:t>
      </w:r>
      <w:r>
        <w:rPr>
          <w:b w:val="0"/>
          <w:sz w:val="20"/>
        </w:rPr>
        <w:t xml:space="preserve"> “Same full package” means the executed agreement package. Personal-property / monetary amendments and addenda stay withheld on </w:t>
      </w:r>
      <w:r>
        <w:rPr>
          <w:b/>
          <w:sz w:val="20"/>
        </w:rPr>
        <w:t>both</w:t>
      </w:r>
      <w:r>
        <w:rPr>
          <w:b w:val="0"/>
          <w:sz w:val="20"/>
        </w:rPr>
        <w:t>, matching the AI Logic column. I will stop Confirm Title Order from attaching those addenda.</w:t>
      </w:r>
    </w:p>
    <w:p>
      <w:pPr>
        <w:spacing w:after="40"/>
        <w:ind w:left="357" w:hanging="255"/>
      </w:pPr>
      <w:r>
        <w:rPr>
          <w:b w:val="0"/>
          <w:sz w:val="20"/>
        </w:rPr>
        <w:t xml:space="preserve">- </w:t>
      </w:r>
      <w:r>
        <w:rPr>
          <w:b/>
          <w:sz w:val="20"/>
        </w:rPr>
        <w:t>Inspection Negotiated on Autopilot.</w:t>
      </w:r>
      <w:r>
        <w:rPr>
          <w:b w:val="0"/>
          <w:sz w:val="20"/>
        </w:rPr>
        <w:t xml:space="preserve"> Aime may send the intermediary status emails (new requests, responses, accepted signed responses). Aime does not draft repair terms or credits.</w:t>
      </w:r>
    </w:p>
    <w:p>
      <w:pPr>
        <w:spacing w:after="40"/>
        <w:ind w:left="357" w:hanging="255"/>
      </w:pPr>
      <w:r>
        <w:rPr>
          <w:b w:val="0"/>
          <w:sz w:val="20"/>
        </w:rPr>
        <w:t xml:space="preserve">- </w:t>
      </w:r>
      <w:r>
        <w:rPr>
          <w:b/>
          <w:sz w:val="20"/>
        </w:rPr>
        <w:t>Sheet 255 → live 257.</w:t>
      </w:r>
      <w:r>
        <w:rPr>
          <w:b w:val="0"/>
          <w:sz w:val="20"/>
        </w:rPr>
        <w:t xml:space="preserve"> I will not rename 257 to 255 on existing files.</w:t>
      </w:r>
    </w:p>
    <w:p>
      <w:pPr>
        <w:spacing w:after="40"/>
        <w:ind w:left="357" w:hanging="255"/>
      </w:pPr>
      <w:r>
        <w:rPr>
          <w:b w:val="0"/>
          <w:sz w:val="20"/>
        </w:rPr>
        <w:t xml:space="preserve">- </w:t>
      </w:r>
      <w:r>
        <w:rPr>
          <w:b/>
          <w:sz w:val="20"/>
        </w:rPr>
        <w:t>Sheet 470 / 480 → live 453 / 455.</w:t>
      </w:r>
      <w:r>
        <w:rPr>
          <w:b w:val="0"/>
          <w:sz w:val="20"/>
        </w:rPr>
        <w:t xml:space="preserve"> Same reason.</w:t>
      </w:r>
    </w:p>
    <w:p>
      <w:pPr>
        <w:spacing w:after="40"/>
        <w:ind w:left="357" w:hanging="255"/>
      </w:pPr>
      <w:r>
        <w:rPr>
          <w:b w:val="0"/>
          <w:sz w:val="20"/>
        </w:rPr>
        <w:t xml:space="preserve">- </w:t>
      </w:r>
      <w:r>
        <w:rPr>
          <w:b/>
          <w:sz w:val="20"/>
        </w:rPr>
        <w:t>Internal thank-you copy.</w:t>
      </w:r>
      <w:r>
        <w:rPr>
          <w:b w:val="0"/>
          <w:sz w:val="20"/>
        </w:rPr>
        <w:t xml:space="preserve"> Question 8 wins over the leftover “10% off / first file free” notes still on spreadsheet rows 450 / 460.</w:t>
      </w:r>
    </w:p>
    <w:p>
      <w:pPr>
        <w:spacing w:after="40"/>
        <w:ind w:left="357" w:hanging="255"/>
      </w:pPr>
      <w:r>
        <w:rPr>
          <w:b w:val="0"/>
          <w:sz w:val="20"/>
        </w:rPr>
        <w:t xml:space="preserve">- </w:t>
      </w:r>
      <w:r>
        <w:rPr>
          <w:b/>
          <w:sz w:val="20"/>
        </w:rPr>
        <w:t>Handwritten thank-yous.</w:t>
      </w:r>
      <w:r>
        <w:rPr>
          <w:b w:val="0"/>
          <w:sz w:val="20"/>
        </w:rPr>
        <w:t xml:space="preserve"> Spreadsheet 430 / 440 stay agent reminders to mail a card. They are not Autopilot client emails.</w:t>
      </w:r>
    </w:p>
    <w:p>
      <w:pPr>
        <w:spacing w:after="40"/>
        <w:ind w:left="357" w:hanging="255"/>
      </w:pPr>
      <w:r>
        <w:rPr>
          <w:b w:val="0"/>
          <w:sz w:val="20"/>
        </w:rPr>
        <w:t xml:space="preserve">- </w:t>
      </w:r>
      <w:r>
        <w:rPr>
          <w:b/>
          <w:sz w:val="20"/>
        </w:rPr>
        <w:t>Custom tasks.</w:t>
      </w:r>
      <w:r>
        <w:rPr>
          <w:b w:val="0"/>
          <w:sz w:val="20"/>
        </w:rPr>
        <w:t xml:space="preserve"> If an agent or Aime adds a task that is not in the library, CC the transaction agent and the assigned TC when applicable. Library rows still use only the CC column on that row (plus assigned TC when that row lists TC).</w:t>
      </w:r>
    </w:p>
    <w:p>
      <w:pPr>
        <w:spacing w:after="40"/>
        <w:ind w:left="357" w:hanging="255"/>
      </w:pPr>
      <w:r>
        <w:rPr>
          <w:b w:val="0"/>
          <w:sz w:val="20"/>
        </w:rPr>
        <w:t xml:space="preserve">- </w:t>
      </w:r>
      <w:r>
        <w:rPr>
          <w:b/>
          <w:sz w:val="20"/>
        </w:rPr>
        <w:t>Confirm Home Warranty CC.</w:t>
      </w:r>
      <w:r>
        <w:rPr>
          <w:b w:val="0"/>
          <w:sz w:val="20"/>
        </w:rPr>
        <w:t xml:space="preserve"> The resend leaves CC blank on 180. Question 6 still puts the assigned TC on copy.</w:t>
      </w:r>
    </w:p>
    <w:p>
      <w:pPr>
        <w:spacing w:after="120"/>
      </w:pPr>
    </w:p>
    <w:p>
      <w:pPr>
        <w:pStyle w:val="Heading1"/>
        <w:spacing w:after="120" w:before="360"/>
      </w:pPr>
      <w:r>
        <w:t>Section 1 — Decisions (Audri’s ticks and my reply)</w:t>
      </w:r>
    </w:p>
    <w:p>
      <w:pPr>
        <w:pStyle w:val="Heading2"/>
        <w:spacing w:after="80" w:before="240"/>
      </w:pPr>
      <w:r>
        <w:t>Question 1 — Dual agency (“Both”)</w:t>
      </w:r>
    </w:p>
    <w:p>
      <w:pPr>
        <w:spacing w:after="80"/>
      </w:pPr>
      <w:r>
        <w:rPr>
          <w:b/>
          <w:sz w:val="20"/>
        </w:rPr>
        <w:t>Audri:</w:t>
      </w:r>
      <w:r>
        <w:rPr>
          <w:b w:val="0"/>
          <w:sz w:val="20"/>
        </w:rPr>
        <w:t xml:space="preserve"> Disregard and remove the global skip. If the target is a vendor (Title and Loan Officer), only one instance populates. If the target is buyer or seller, both instances populate.</w:t>
      </w:r>
    </w:p>
    <w:p>
      <w:pPr>
        <w:spacing w:after="80"/>
      </w:pPr>
      <w:r>
        <w:rPr>
          <w:b/>
          <w:sz w:val="20"/>
        </w:rPr>
        <w:t>Jan:</w:t>
      </w:r>
      <w:r>
        <w:rPr>
          <w:b w:val="0"/>
          <w:sz w:val="20"/>
        </w:rPr>
        <w:t xml:space="preserve"> Recorded. I will stop generating the extra Both-only IDs. A Both file still gets buyer-side and seller-side party letters, and one Title / Loan Officer letter each.</w:t>
      </w:r>
    </w:p>
    <w:p>
      <w:pPr>
        <w:pStyle w:val="Heading2"/>
        <w:spacing w:after="80" w:before="240"/>
      </w:pPr>
      <w:r>
        <w:t>Question 2 — Confirm Title Order (80) vs Order Title (70)</w:t>
      </w:r>
    </w:p>
    <w:p>
      <w:pPr>
        <w:spacing w:after="80"/>
      </w:pPr>
      <w:r>
        <w:rPr>
          <w:b/>
          <w:sz w:val="20"/>
        </w:rPr>
        <w:t>Audri:</w:t>
      </w:r>
      <w:r>
        <w:rPr>
          <w:b w:val="0"/>
          <w:sz w:val="20"/>
        </w:rPr>
        <w:t xml:space="preserve"> 70 and 80 send the same full package. The only difference is scripting. 70 is the transaction agent ordering title. 80 is when the co-op is ordering: “As a courtesy to \&lt;co-op agent name\&gt; would like to engage you as the escrow agent….”</w:t>
      </w:r>
    </w:p>
    <w:p>
      <w:pPr>
        <w:spacing w:after="80"/>
      </w:pPr>
      <w:r>
        <w:rPr>
          <w:b/>
          <w:sz w:val="20"/>
        </w:rPr>
        <w:t>Jan:</w:t>
      </w:r>
      <w:r>
        <w:rPr>
          <w:b w:val="0"/>
          <w:sz w:val="20"/>
        </w:rPr>
        <w:t xml:space="preserve"> Recorded. Live 80 today is a “has title been ordered?” follow-up. I will rewrite 80 to the courtesy-order letter, keep the ID, and withhold personal-property / monetary amendments on both 70 and 80. Wizard still chooses which row appears.</w:t>
      </w:r>
    </w:p>
    <w:p>
      <w:pPr>
        <w:pStyle w:val="Heading2"/>
        <w:spacing w:after="80" w:before="240"/>
      </w:pPr>
      <w:r>
        <w:t>Question 3 — Which additional letters may send on Autopilot?</w:t>
      </w:r>
    </w:p>
    <w:p>
      <w:pPr>
        <w:spacing w:after="80"/>
      </w:pPr>
      <w:r>
        <w:rPr>
          <w:b/>
          <w:sz w:val="20"/>
        </w:rPr>
        <w:t>Audri:</w:t>
      </w:r>
      <w:r>
        <w:rPr>
          <w:b w:val="0"/>
          <w:sz w:val="20"/>
        </w:rPr>
        <w:t xml:space="preserve"> Request task types should send on Autopilot. CTC / CD / closing-information / testimonials can run on Auto if we explain them. Thank You is a delivered Velvet Elves email. Deliver runs only after the requested attachment or info is parsed. Low confidence drafts like Assisted; overnight review keeps learning.</w:t>
      </w:r>
    </w:p>
    <w:p>
      <w:pPr>
        <w:spacing w:after="80"/>
      </w:pPr>
      <w:r>
        <w:rPr>
          <w:b/>
          <w:sz w:val="20"/>
        </w:rPr>
        <w:t>Jan:</w:t>
      </w:r>
      <w:r>
        <w:rPr>
          <w:b w:val="0"/>
          <w:sz w:val="20"/>
        </w:rPr>
        <w:t xml:space="preserve"> Recorded as the Autopilot grant above. This is the spreadsheet Jake told us to wait for. I will not add letters she did not name.</w:t>
      </w:r>
    </w:p>
    <w:p>
      <w:pPr>
        <w:pStyle w:val="Heading2"/>
        <w:spacing w:after="80" w:before="240"/>
      </w:pPr>
      <w:r>
        <w:t>Question 4 — Inspection Negotiated (250 / 255)</w:t>
      </w:r>
    </w:p>
    <w:p>
      <w:pPr>
        <w:spacing w:after="80"/>
      </w:pPr>
      <w:r>
        <w:rPr>
          <w:b/>
          <w:sz w:val="20"/>
        </w:rPr>
        <w:t>Audri:</w:t>
      </w:r>
      <w:r>
        <w:rPr>
          <w:b w:val="0"/>
          <w:sz w:val="20"/>
        </w:rPr>
        <w:t xml:space="preserve"> This is not Aime negotiating terms. The task asks the transaction agent and parses inspection responses for new requests, buyer and seller responses, and accepted responses signed by both.</w:t>
      </w:r>
    </w:p>
    <w:p>
      <w:pPr>
        <w:spacing w:after="80"/>
      </w:pPr>
      <w:r>
        <w:rPr>
          <w:b/>
          <w:sz w:val="20"/>
        </w:rPr>
        <w:t>Jan:</w:t>
      </w:r>
      <w:r>
        <w:rPr>
          <w:b w:val="0"/>
          <w:sz w:val="20"/>
        </w:rPr>
        <w:t xml:space="preserve"> Recorded. Aime is the intermediary. Split buy-side (live 250) and sell-side (live 257). Reminders 240 / 245 may still send.</w:t>
      </w:r>
    </w:p>
    <w:p>
      <w:pPr>
        <w:pStyle w:val="Heading2"/>
        <w:spacing w:after="80" w:before="240"/>
      </w:pPr>
      <w:r>
        <w:t>Question 5 — Order Home Warranty (170)</w:t>
      </w:r>
    </w:p>
    <w:p>
      <w:pPr>
        <w:spacing w:after="80"/>
      </w:pPr>
      <w:r>
        <w:rPr>
          <w:b/>
          <w:sz w:val="20"/>
        </w:rPr>
        <w:t>Audri:</w:t>
      </w:r>
      <w:r>
        <w:rPr>
          <w:b w:val="0"/>
          <w:sz w:val="20"/>
        </w:rPr>
        <w:t xml:space="preserve"> Internal reminder to the transaction agent and TC to order the home warranty.</w:t>
      </w:r>
    </w:p>
    <w:p>
      <w:pPr>
        <w:spacing w:after="80"/>
      </w:pPr>
      <w:r>
        <w:rPr>
          <w:b/>
          <w:sz w:val="20"/>
        </w:rPr>
        <w:t>Jan:</w:t>
      </w:r>
      <w:r>
        <w:rPr>
          <w:b w:val="0"/>
          <w:sz w:val="20"/>
        </w:rPr>
        <w:t xml:space="preserve"> Recorded. Target = Agent (TC on copy when assigned). No letter to a warranty company. Completing the task is still “we placed the order and sent the invoice to title and the co-op.”</w:t>
      </w:r>
    </w:p>
    <w:p>
      <w:pPr>
        <w:pStyle w:val="Heading2"/>
        <w:spacing w:after="80" w:before="240"/>
      </w:pPr>
      <w:r>
        <w:t>Question 6 — Confirm Home Warranty (180)</w:t>
      </w:r>
    </w:p>
    <w:p>
      <w:pPr>
        <w:spacing w:after="80"/>
      </w:pPr>
      <w:r>
        <w:rPr>
          <w:b/>
          <w:sz w:val="20"/>
        </w:rPr>
        <w:t>Audri:</w:t>
      </w:r>
      <w:r>
        <w:rPr>
          <w:b w:val="0"/>
          <w:sz w:val="20"/>
        </w:rPr>
        <w:t xml:space="preserve"> To = co-op agent. TC on copy when assigned.</w:t>
      </w:r>
    </w:p>
    <w:p>
      <w:pPr>
        <w:spacing w:after="80"/>
      </w:pPr>
      <w:r>
        <w:rPr>
          <w:b/>
          <w:sz w:val="20"/>
        </w:rPr>
        <w:t>Jan:</w:t>
      </w:r>
      <w:r>
        <w:rPr>
          <w:b w:val="0"/>
          <w:sz w:val="20"/>
        </w:rPr>
        <w:t xml:space="preserve"> Recorded. Matches the resend target column (Co-op Agent).</w:t>
      </w:r>
    </w:p>
    <w:p>
      <w:pPr>
        <w:pStyle w:val="Heading2"/>
        <w:spacing w:after="80" w:before="240"/>
      </w:pPr>
      <w:r>
        <w:t>Question 7 — Cash Appraisal Completed</w:t>
      </w:r>
    </w:p>
    <w:p>
      <w:pPr>
        <w:spacing w:after="80"/>
      </w:pPr>
      <w:r>
        <w:rPr>
          <w:b/>
          <w:sz w:val="20"/>
        </w:rPr>
        <w:t>Audri:</w:t>
      </w:r>
      <w:r>
        <w:rPr>
          <w:b w:val="0"/>
          <w:sz w:val="20"/>
        </w:rPr>
        <w:t xml:space="preserve"> We added 271 (Buy-Cash) because the target is different.</w:t>
      </w:r>
    </w:p>
    <w:p>
      <w:pPr>
        <w:spacing w:after="80"/>
      </w:pPr>
      <w:r>
        <w:rPr>
          <w:b/>
          <w:sz w:val="20"/>
        </w:rPr>
        <w:t>Jan:</w:t>
      </w:r>
      <w:r>
        <w:rPr>
          <w:b w:val="0"/>
          <w:sz w:val="20"/>
        </w:rPr>
        <w:t xml:space="preserve"> Recorded as a split by target, not as “reuse 271 for both sides.” Resend adds 267 (Sell-Cash ordered) and 275 (Sell-Cash completed). I will keep live 265 / 271, narrow them to Buy-Cash, and add 267 / 275. Elected/waived appraisal from the wizard still gates all four.</w:t>
      </w:r>
    </w:p>
    <w:p>
      <w:pPr>
        <w:pStyle w:val="Heading2"/>
        <w:spacing w:after="80" w:before="240"/>
      </w:pPr>
      <w:r>
        <w:t>Question 8 — Referrals vs testimonials, and internal thank-yous</w:t>
      </w:r>
    </w:p>
    <w:p>
      <w:pPr>
        <w:spacing w:after="80"/>
      </w:pPr>
      <w:r>
        <w:rPr>
          <w:b/>
          <w:sz w:val="20"/>
        </w:rPr>
        <w:t>Audri:</w:t>
      </w:r>
      <w:r>
        <w:rPr>
          <w:b w:val="0"/>
          <w:sz w:val="20"/>
        </w:rPr>
        <w:t xml:space="preserve"> Keep testimonials + feedback emails (current product). These will be sent to the target and we will provide scripts for clarity.</w:t>
      </w:r>
    </w:p>
    <w:p>
      <w:pPr>
        <w:spacing w:after="80"/>
      </w:pPr>
      <w:r>
        <w:rPr>
          <w:b/>
          <w:sz w:val="20"/>
        </w:rPr>
        <w:t>Jan:</w:t>
      </w:r>
      <w:r>
        <w:rPr>
          <w:b w:val="0"/>
          <w:sz w:val="20"/>
        </w:rPr>
        <w:t xml:space="preserve"> Recorded. The resend already renamed 410 / 420 to Request Testimonials. I will ignore leftover sales copy on internal thank-you rows. Scripts slot in when they arrive.</w:t>
      </w:r>
    </w:p>
    <w:p>
      <w:pPr>
        <w:pStyle w:val="Heading2"/>
        <w:spacing w:after="80" w:before="240"/>
      </w:pPr>
      <w:r>
        <w:t>Question 9 — Year-end exemption reminder (1010)</w:t>
      </w:r>
    </w:p>
    <w:p>
      <w:pPr>
        <w:spacing w:after="80"/>
      </w:pPr>
      <w:r>
        <w:rPr>
          <w:b/>
          <w:sz w:val="20"/>
        </w:rPr>
        <w:t>Audri:</w:t>
      </w:r>
      <w:r>
        <w:rPr>
          <w:b w:val="0"/>
          <w:sz w:val="20"/>
        </w:rPr>
        <w:t xml:space="preserve"> Yes — December 1, buyers on files that closed that year, year-aware deadline, Manual does not send unattended.</w:t>
      </w:r>
    </w:p>
    <w:p>
      <w:pPr>
        <w:spacing w:after="80"/>
      </w:pPr>
      <w:r>
        <w:rPr>
          <w:b/>
          <w:sz w:val="20"/>
        </w:rPr>
        <w:t>Jan:</w:t>
      </w:r>
      <w:r>
        <w:rPr>
          <w:b w:val="0"/>
          <w:sz w:val="20"/>
        </w:rPr>
        <w:t xml:space="preserve"> Recorded. New job, new ID 1010. Not a row on every live file.</w:t>
      </w:r>
    </w:p>
    <w:p>
      <w:pPr>
        <w:pStyle w:val="Heading2"/>
        <w:spacing w:after="80" w:before="240"/>
      </w:pPr>
      <w:r>
        <w:t>Question 10 — Title clouds on Deliver Title</w:t>
      </w:r>
    </w:p>
    <w:p>
      <w:pPr>
        <w:spacing w:after="80"/>
      </w:pPr>
      <w:r>
        <w:rPr>
          <w:b/>
          <w:sz w:val="20"/>
        </w:rPr>
        <w:t>Audri:</w:t>
      </w:r>
      <w:r>
        <w:rPr>
          <w:b w:val="0"/>
          <w:sz w:val="20"/>
        </w:rPr>
        <w:t xml:space="preserve"> Title commitment now. Cloud summary later.</w:t>
      </w:r>
    </w:p>
    <w:p>
      <w:pPr>
        <w:spacing w:after="80"/>
      </w:pPr>
      <w:r>
        <w:rPr>
          <w:b/>
          <w:sz w:val="20"/>
        </w:rPr>
        <w:t>Jan:</w:t>
      </w:r>
      <w:r>
        <w:rPr>
          <w:b w:val="0"/>
          <w:sz w:val="20"/>
        </w:rPr>
        <w:t xml:space="preserve"> Recorded. 300 / 310 / 320 attach the commitment. No lien/judgment list in the body on this pass.</w:t>
      </w:r>
    </w:p>
    <w:p>
      <w:pPr>
        <w:pStyle w:val="Heading2"/>
        <w:spacing w:after="80" w:before="240"/>
      </w:pPr>
      <w:r>
        <w:t>Question 11 — Request follow-up timers</w:t>
      </w:r>
    </w:p>
    <w:p>
      <w:pPr>
        <w:spacing w:after="80"/>
      </w:pPr>
      <w:r>
        <w:rPr>
          <w:b/>
          <w:sz w:val="20"/>
        </w:rPr>
        <w:t>Audri:</w:t>
      </w:r>
      <w:r>
        <w:rPr>
          <w:b w:val="0"/>
          <w:sz w:val="20"/>
        </w:rPr>
        <w:t xml:space="preserve"> Both timers in this cutover.</w:t>
      </w:r>
    </w:p>
    <w:p>
      <w:pPr>
        <w:spacing w:after="80"/>
      </w:pPr>
      <w:r>
        <w:rPr>
          <w:b/>
          <w:sz w:val="20"/>
        </w:rPr>
        <w:t>Jan:</w:t>
      </w:r>
      <w:r>
        <w:rPr>
          <w:b w:val="0"/>
          <w:sz w:val="20"/>
        </w:rPr>
        <w:t xml:space="preserve"> Recorded. They ship after the library rewrite, because they need a stable “request” classification.</w:t>
      </w:r>
    </w:p>
    <w:p>
      <w:pPr>
        <w:pStyle w:val="Heading2"/>
        <w:spacing w:after="80" w:before="240"/>
      </w:pPr>
      <w:r>
        <w:t>Question 12 — Always-CC rules</w:t>
      </w:r>
    </w:p>
    <w:p>
      <w:pPr>
        <w:spacing w:after="80"/>
      </w:pPr>
      <w:r>
        <w:rPr>
          <w:b/>
          <w:sz w:val="20"/>
        </w:rPr>
        <w:t>Audri:</w:t>
      </w:r>
      <w:r>
        <w:rPr>
          <w:b w:val="0"/>
          <w:sz w:val="20"/>
        </w:rPr>
        <w:t xml:space="preserve"> Do not invent extra CCs. The rule exists so when a user or Aime adds additional tasks, the agent/TC would be CC’d on those communications, if applicable.</w:t>
      </w:r>
    </w:p>
    <w:p>
      <w:pPr>
        <w:spacing w:after="80"/>
      </w:pPr>
      <w:r>
        <w:rPr>
          <w:b/>
          <w:sz w:val="20"/>
        </w:rPr>
        <w:t>Jan:</w:t>
      </w:r>
      <w:r>
        <w:rPr>
          <w:b w:val="0"/>
          <w:sz w:val="20"/>
        </w:rPr>
        <w:t xml:space="preserve"> Recorded. Library emails use the row’s CC list. User-added tasks get Agent and assigned TC on copy when applicable.</w:t>
      </w:r>
    </w:p>
    <w:p>
      <w:pPr>
        <w:pStyle w:val="Heading2"/>
        <w:spacing w:after="80" w:before="240"/>
      </w:pPr>
      <w:r>
        <w:t>Question 13 — Tasks 235, 453, and 455</w:t>
      </w:r>
    </w:p>
    <w:p>
      <w:pPr>
        <w:spacing w:after="80"/>
      </w:pPr>
      <w:r>
        <w:rPr>
          <w:b/>
          <w:sz w:val="20"/>
        </w:rPr>
        <w:t>Audri:</w:t>
      </w:r>
      <w:r>
        <w:rPr>
          <w:b w:val="0"/>
          <w:sz w:val="20"/>
        </w:rPr>
        <w:t xml:space="preserve"> 235 is not necessary because sellers do not have inspections. Lockbox is back as sheet 470 (−5 days). MLS Sold is back as sheet 480.</w:t>
      </w:r>
    </w:p>
    <w:p>
      <w:pPr>
        <w:spacing w:after="80"/>
      </w:pPr>
      <w:r>
        <w:rPr>
          <w:b/>
          <w:sz w:val="20"/>
        </w:rPr>
        <w:t>Jan:</w:t>
      </w:r>
      <w:r>
        <w:rPr>
          <w:b w:val="0"/>
          <w:sz w:val="20"/>
        </w:rPr>
        <w:t xml:space="preserve"> Recorded. Drop 235 for new files. Keep live </w:t>
      </w:r>
      <w:r>
        <w:rPr>
          <w:b/>
          <w:sz w:val="20"/>
        </w:rPr>
        <w:t>453</w:t>
      </w:r>
      <w:r>
        <w:rPr>
          <w:b w:val="0"/>
          <w:sz w:val="20"/>
        </w:rPr>
        <w:t xml:space="preserve"> and </w:t>
      </w:r>
      <w:r>
        <w:rPr>
          <w:b/>
          <w:sz w:val="20"/>
        </w:rPr>
        <w:t>455</w:t>
      </w:r>
      <w:r>
        <w:rPr>
          <w:b w:val="0"/>
          <w:sz w:val="20"/>
        </w:rPr>
        <w:t xml:space="preserve"> (do not renumber them to 470 / 480). Sell-side 220 (notify seller the inspection is scheduled) and 245 (watch for the buyer’s response) stay — those are not “the seller has an inspection.”</w:t>
      </w:r>
    </w:p>
    <w:p>
      <w:pPr>
        <w:spacing w:after="120"/>
      </w:pPr>
    </w:p>
    <w:p>
      <w:pPr>
        <w:pStyle w:val="Heading1"/>
        <w:spacing w:after="120" w:before="360"/>
      </w:pPr>
      <w:r>
        <w:t>Section 2 — Spreadsheet typos</w:t>
      </w:r>
    </w:p>
    <w:p>
      <w:pPr>
        <w:spacing w:after="80"/>
      </w:pPr>
      <w:r>
        <w:rPr>
          <w:b w:val="0"/>
          <w:sz w:val="20"/>
        </w:rPr>
        <w:t xml:space="preserve">All confirmed. The resend </w:t>
      </w:r>
      <w:r>
        <w:rPr>
          <w:rFonts w:ascii="Consolas" w:hAnsi="Consolas"/>
          <w:b w:val="0"/>
          <w:sz w:val="20"/>
        </w:rPr>
        <w:t>Updated_AI_Task_List.csv</w:t>
      </w:r>
      <w:r>
        <w:rPr>
          <w:b w:val="0"/>
          <w:sz w:val="20"/>
        </w:rPr>
        <w:t xml:space="preserve"> already has: utility wording on 150, 160 To = Co-op Agent, 255 depends on 245, hyphenated use cases, 267 / 275 date rules, 170 AI User Types, and no global Both-skip line.</w:t>
      </w:r>
    </w:p>
    <w:p>
      <w:pPr>
        <w:spacing w:after="120"/>
      </w:pPr>
    </w:p>
    <w:p>
      <w:pPr>
        <w:pStyle w:val="Heading1"/>
        <w:spacing w:after="120" w:before="360"/>
      </w:pPr>
      <w:r>
        <w:t>How I will proceed</w:t>
      </w:r>
    </w:p>
    <w:p>
      <w:pPr>
        <w:spacing w:after="80"/>
      </w:pPr>
      <w:r>
        <w:rPr>
          <w:b w:val="0"/>
          <w:sz w:val="20"/>
        </w:rPr>
        <w:t>I will not touch live deals until we start the library refresh on purpose. If you want the one-page map above in the shared Google Doc, say so and I will paste it.</w:t>
      </w:r>
    </w:p>
    <w:p>
      <w:pPr>
        <w:spacing w:after="80"/>
      </w:pPr>
      <w:r>
        <w:rPr>
          <w:b w:val="0"/>
          <w:sz w:val="20"/>
        </w:rPr>
        <w:t>Next engineering pass, when you ask for it: step 1 (library in place), then Autopilot grant, then timers, then 1010. Title clouds stay later.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