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FIRST CONFERENCE RELEASE AND COMPETITIVE STRATEGY</w:t>
      </w:r>
    </w:p>
    <w:p>
      <w:pPr>
        <w:pStyle w:val="Heading2"/>
        <w:jc w:val="center"/>
      </w:pPr>
      <w:r>
        <w:rPr>
          <w:sz w:val="28"/>
        </w:rPr>
        <w:t>Proposal</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Jake, Project Owner</w:t>
            </w:r>
          </w:p>
        </w:tc>
      </w:tr>
      <w:tr>
        <w:tc>
          <w:tcPr>
            <w:tcW w:type="dxa" w:w="4680"/>
          </w:tcPr>
          <w:p>
            <w:r>
              <w:rPr>
                <w:b/>
                <w:sz w:val="20"/>
              </w:rPr>
              <w:t>Prepared by</w:t>
            </w:r>
          </w:p>
        </w:tc>
        <w:tc>
          <w:tcPr>
            <w:tcW w:type="dxa" w:w="4680"/>
          </w:tcPr>
          <w:p>
            <w:r>
              <w:rPr>
                <w:sz w:val="20"/>
              </w:rPr>
              <w:t>Jan, Lead Developer</w:t>
            </w:r>
          </w:p>
        </w:tc>
      </w:tr>
      <w:tr>
        <w:tc>
          <w:tcPr>
            <w:tcW w:type="dxa" w:w="4680"/>
          </w:tcPr>
          <w:p>
            <w:r>
              <w:rPr>
                <w:b/>
                <w:sz w:val="20"/>
              </w:rPr>
              <w:t>Date</w:t>
            </w:r>
          </w:p>
        </w:tc>
        <w:tc>
          <w:tcPr>
            <w:tcW w:type="dxa" w:w="4680"/>
          </w:tcPr>
          <w:p>
            <w:r>
              <w:rPr>
                <w:sz w:val="20"/>
              </w:rPr>
              <w:t>August 12, 2026</w:t>
            </w:r>
          </w:p>
        </w:tc>
      </w:tr>
      <w:tr>
        <w:tc>
          <w:tcPr>
            <w:tcW w:type="dxa" w:w="4680"/>
          </w:tcPr>
          <w:p>
            <w:r>
              <w:rPr>
                <w:b/>
                <w:sz w:val="20"/>
              </w:rPr>
              <w:t>Subject</w:t>
            </w:r>
          </w:p>
        </w:tc>
        <w:tc>
          <w:tcPr>
            <w:tcW w:type="dxa" w:w="4680"/>
          </w:tcPr>
          <w:p>
            <w:r>
              <w:rPr>
                <w:sz w:val="20"/>
              </w:rPr>
              <w:t>Proposed release scope, competitive positioning against ListedKit, and delivery plan</w:t>
            </w:r>
          </w:p>
        </w:tc>
      </w:tr>
      <w:tr>
        <w:tc>
          <w:tcPr>
            <w:tcW w:type="dxa" w:w="4680"/>
          </w:tcPr>
          <w:p>
            <w:r>
              <w:rPr>
                <w:b/>
                <w:sz w:val="20"/>
              </w:rPr>
              <w:t>Release lock date</w:t>
            </w:r>
          </w:p>
        </w:tc>
        <w:tc>
          <w:tcPr>
            <w:tcW w:type="dxa" w:w="4680"/>
          </w:tcPr>
          <w:p>
            <w:r>
              <w:rPr>
                <w:sz w:val="20"/>
              </w:rPr>
              <w:t>September 12, 2026</w:t>
            </w:r>
          </w:p>
        </w:tc>
      </w:tr>
      <w:tr>
        <w:tc>
          <w:tcPr>
            <w:tcW w:type="dxa" w:w="4680"/>
          </w:tcPr>
          <w:p>
            <w:r>
              <w:rPr>
                <w:b/>
                <w:sz w:val="20"/>
              </w:rPr>
              <w:t>Conference</w:t>
            </w:r>
          </w:p>
        </w:tc>
        <w:tc>
          <w:tcPr>
            <w:tcW w:type="dxa" w:w="4680"/>
          </w:tcPr>
          <w:p>
            <w:r>
              <w:rPr>
                <w:sz w:val="20"/>
              </w:rPr>
              <w:t>September 22, 2026</w:t>
            </w:r>
          </w:p>
        </w:tc>
      </w:tr>
      <w:tr>
        <w:tc>
          <w:tcPr>
            <w:tcW w:type="dxa" w:w="4680"/>
          </w:tcPr>
          <w:p>
            <w:r>
              <w:rPr>
                <w:b/>
                <w:sz w:val="20"/>
              </w:rPr>
              <w:t>Status</w:t>
            </w:r>
          </w:p>
        </w:tc>
        <w:tc>
          <w:tcPr>
            <w:tcW w:type="dxa" w:w="4680"/>
          </w:tcPr>
          <w:p>
            <w:r>
              <w:rPr>
                <w:sz w:val="20"/>
              </w:rPr>
              <w:t>Awaiting approval; decisions required by August 18, 2026</w:t>
            </w:r>
          </w:p>
        </w:tc>
      </w:tr>
    </w:tbl>
    <w:p>
      <w:r>
        <w:br w:type="page"/>
      </w:r>
    </w:p>
    <w:p>
      <w:pPr>
        <w:pStyle w:val="Heading1"/>
        <w:spacing w:after="120" w:before="360"/>
      </w:pPr>
      <w:r>
        <w:t>1. Proposal Summary</w:t>
      </w:r>
    </w:p>
    <w:p>
      <w:pPr>
        <w:spacing w:after="80"/>
      </w:pPr>
      <w:r>
        <w:rPr>
          <w:b w:val="0"/>
          <w:sz w:val="20"/>
        </w:rPr>
        <w:t xml:space="preserve">I propose that Velvet Elves release the </w:t>
      </w:r>
      <w:r>
        <w:rPr>
          <w:b/>
          <w:sz w:val="20"/>
        </w:rPr>
        <w:t>complete implemented platform</w:t>
      </w:r>
      <w:r>
        <w:rPr>
          <w:b w:val="0"/>
          <w:sz w:val="20"/>
        </w:rPr>
        <w:t xml:space="preserve"> at the First Conference, rather than a reduced feature subset.</w:t>
      </w:r>
    </w:p>
    <w:p>
      <w:pPr>
        <w:spacing w:after="80"/>
      </w:pPr>
      <w:r>
        <w:rPr>
          <w:b w:val="0"/>
          <w:sz w:val="20"/>
        </w:rPr>
        <w:t xml:space="preserve">A code-level review of the current backend and frontend confirms approximately </w:t>
      </w:r>
      <w:r>
        <w:rPr>
          <w:b/>
          <w:sz w:val="20"/>
        </w:rPr>
        <w:t>95 live product capabilities</w:t>
      </w:r>
      <w:r>
        <w:rPr>
          <w:b w:val="0"/>
          <w:sz w:val="20"/>
        </w:rPr>
        <w:t xml:space="preserve"> spanning intake, task generation, deal management, automation, communication, portals, payments, and administration. This is materially broader than ListedKit's public product surface. The remaining work before September 22 is not core construction; it is </w:t>
      </w:r>
      <w:r>
        <w:rPr>
          <w:b/>
          <w:sz w:val="20"/>
        </w:rPr>
        <w:t>enablement, commercial configuration, and verification</w:t>
      </w:r>
      <w:r>
        <w:rPr>
          <w:b w:val="0"/>
          <w:sz w:val="20"/>
        </w:rPr>
        <w:t>.</w:t>
      </w:r>
    </w:p>
    <w:p>
      <w:pPr>
        <w:spacing w:after="80"/>
      </w:pPr>
      <w:r>
        <w:rPr>
          <w:b w:val="0"/>
          <w:sz w:val="20"/>
        </w:rPr>
        <w:t>The proposal has three components:</w:t>
      </w:r>
    </w:p>
    <w:p>
      <w:pPr>
        <w:spacing w:after="40"/>
        <w:ind w:left="357" w:hanging="255"/>
      </w:pPr>
      <w:r>
        <w:rPr>
          <w:b w:val="0"/>
          <w:sz w:val="20"/>
        </w:rPr>
        <w:t xml:space="preserve">1. </w:t>
      </w:r>
      <w:r>
        <w:rPr>
          <w:b/>
          <w:sz w:val="20"/>
        </w:rPr>
        <w:t>Release the full implemented platform</w:t>
      </w:r>
      <w:r>
        <w:rPr>
          <w:b w:val="0"/>
          <w:sz w:val="20"/>
        </w:rPr>
        <w:t xml:space="preserve"> (Section 4.1).</w:t>
      </w:r>
    </w:p>
    <w:p>
      <w:pPr>
        <w:spacing w:after="40"/>
        <w:ind w:left="357" w:hanging="255"/>
      </w:pPr>
      <w:r>
        <w:rPr>
          <w:b w:val="0"/>
          <w:sz w:val="20"/>
        </w:rPr>
        <w:t xml:space="preserve">2. </w:t>
      </w:r>
      <w:r>
        <w:rPr>
          <w:b/>
          <w:sz w:val="20"/>
        </w:rPr>
        <w:t>Enable the seven items that are built but currently switched off or unconnected</w:t>
      </w:r>
      <w:r>
        <w:rPr>
          <w:b w:val="0"/>
          <w:sz w:val="20"/>
        </w:rPr>
        <w:t xml:space="preserve"> (Section 4.2), including Morning Queue, founding price, and DocuSign.</w:t>
      </w:r>
    </w:p>
    <w:p>
      <w:pPr>
        <w:spacing w:after="40"/>
        <w:ind w:left="357" w:hanging="255"/>
      </w:pPr>
      <w:r>
        <w:rPr>
          <w:b w:val="0"/>
          <w:sz w:val="20"/>
        </w:rPr>
        <w:t xml:space="preserve">3. </w:t>
      </w:r>
      <w:r>
        <w:rPr>
          <w:b/>
          <w:sz w:val="20"/>
        </w:rPr>
        <w:t>Exclude unbuilt capabilities from all conference claims</w:t>
      </w:r>
      <w:r>
        <w:rPr>
          <w:b w:val="0"/>
          <w:sz w:val="20"/>
        </w:rPr>
        <w:t xml:space="preserve"> (Section 4.3), specifically SMS, native Follow Up Boss, and AI Coach.</w:t>
      </w:r>
    </w:p>
    <w:p>
      <w:pPr>
        <w:spacing w:after="80"/>
      </w:pPr>
      <w:r>
        <w:rPr>
          <w:b w:val="0"/>
          <w:sz w:val="20"/>
        </w:rPr>
        <w:t>Positioning statement for the conference:</w:t>
      </w:r>
    </w:p>
    <w:p>
      <w:pPr>
        <w:spacing w:after="80"/>
      </w:pPr>
      <w:r>
        <w:rPr>
          <w:b w:val="0"/>
          <w:sz w:val="20"/>
        </w:rPr>
        <w:t>&gt; ListedKit is an AI transaction coordinator. Velvet Elves is the closing operating system — live today across intake, playbook, deal file, approvals, email, calendar, payments, and client, vendor, FSBO, and attorney portals.</w:t>
      </w:r>
    </w:p>
    <w:p>
      <w:pPr>
        <w:spacing w:after="120"/>
      </w:pPr>
    </w:p>
    <w:p>
      <w:pPr>
        <w:pStyle w:val="Heading1"/>
        <w:spacing w:after="120" w:before="360"/>
      </w:pPr>
      <w:r>
        <w:t>2. Competitive Position: ListedKit</w:t>
      </w:r>
    </w:p>
    <w:p>
      <w:pPr>
        <w:spacing w:after="80"/>
      </w:pPr>
      <w:r>
        <w:rPr>
          <w:b w:val="0"/>
          <w:sz w:val="20"/>
        </w:rPr>
        <w:t>Assessed from ListedKit's public website on August 12, 2026.</w:t>
      </w:r>
    </w:p>
    <w:p>
      <w:pPr>
        <w:pStyle w:val="Heading2"/>
        <w:spacing w:after="80" w:before="240"/>
      </w:pPr>
      <w:r>
        <w:t>2.1 Live capabilities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Area</w:t>
            </w:r>
          </w:p>
        </w:tc>
        <w:tc>
          <w:tcPr>
            <w:tcW w:type="dxa" w:w="4680"/>
            <w:shd w:val="clear" w:color="auto" w:fill="D9E2F3"/>
          </w:tcPr>
          <w:p>
            <w:pPr>
              <w:spacing w:after="0"/>
            </w:pPr>
            <w:r/>
            <w:r>
              <w:rPr>
                <w:b/>
                <w:sz w:val="20"/>
              </w:rPr>
              <w:t>Public position</w:t>
            </w:r>
          </w:p>
        </w:tc>
      </w:tr>
      <w:tr>
        <w:tc>
          <w:tcPr>
            <w:tcW w:type="dxa" w:w="4680"/>
          </w:tcPr>
          <w:p>
            <w:pPr>
              <w:spacing w:after="0"/>
            </w:pPr>
            <w:r/>
            <w:r>
              <w:rPr>
                <w:b w:val="0"/>
                <w:sz w:val="20"/>
              </w:rPr>
              <w:t>Contract and inbox reading</w:t>
            </w:r>
          </w:p>
        </w:tc>
        <w:tc>
          <w:tcPr>
            <w:tcW w:type="dxa" w:w="4680"/>
          </w:tcPr>
          <w:p>
            <w:pPr>
              <w:spacing w:after="0"/>
            </w:pPr>
            <w:r/>
            <w:r>
              <w:rPr>
                <w:b w:val="0"/>
                <w:sz w:val="20"/>
              </w:rPr>
              <w:t>Any-state contracts; inbound email matched to deals</w:t>
            </w:r>
          </w:p>
        </w:tc>
      </w:tr>
      <w:tr>
        <w:tc>
          <w:tcPr>
            <w:tcW w:type="dxa" w:w="4680"/>
          </w:tcPr>
          <w:p>
            <w:pPr>
              <w:spacing w:after="0"/>
            </w:pPr>
            <w:r/>
            <w:r>
              <w:rPr>
                <w:b w:val="0"/>
                <w:sz w:val="20"/>
              </w:rPr>
              <w:t>Timeline, tasks, pipeline</w:t>
            </w:r>
          </w:p>
        </w:tc>
        <w:tc>
          <w:tcPr>
            <w:tcW w:type="dxa" w:w="4680"/>
          </w:tcPr>
          <w:p>
            <w:pPr>
              <w:spacing w:after="0"/>
            </w:pPr>
            <w:r/>
            <w:r>
              <w:rPr>
                <w:b w:val="0"/>
                <w:sz w:val="20"/>
              </w:rPr>
              <w:t>Generated from the contract; urgency across deals</w:t>
            </w:r>
          </w:p>
        </w:tc>
      </w:tr>
      <w:tr>
        <w:tc>
          <w:tcPr>
            <w:tcW w:type="dxa" w:w="4680"/>
          </w:tcPr>
          <w:p>
            <w:pPr>
              <w:spacing w:after="0"/>
            </w:pPr>
            <w:r/>
            <w:r>
              <w:rPr>
                <w:b w:val="0"/>
                <w:sz w:val="20"/>
              </w:rPr>
              <w:t>Email automation</w:t>
            </w:r>
          </w:p>
        </w:tc>
        <w:tc>
          <w:tcPr>
            <w:tcW w:type="dxa" w:w="4680"/>
          </w:tcPr>
          <w:p>
            <w:pPr>
              <w:spacing w:after="0"/>
            </w:pPr>
            <w:r/>
            <w:r>
              <w:rPr>
                <w:b w:val="0"/>
                <w:sz w:val="20"/>
              </w:rPr>
              <w:t>Drafts and scheduled reminders from Gmail/Outlook; human review before send</w:t>
            </w:r>
          </w:p>
        </w:tc>
      </w:tr>
      <w:tr>
        <w:tc>
          <w:tcPr>
            <w:tcW w:type="dxa" w:w="4680"/>
          </w:tcPr>
          <w:p>
            <w:pPr>
              <w:spacing w:after="0"/>
            </w:pPr>
            <w:r/>
            <w:r>
              <w:rPr>
                <w:b w:val="0"/>
                <w:sz w:val="20"/>
              </w:rPr>
              <w:t>Calendar</w:t>
            </w:r>
          </w:p>
        </w:tc>
        <w:tc>
          <w:tcPr>
            <w:tcW w:type="dxa" w:w="4680"/>
          </w:tcPr>
          <w:p>
            <w:pPr>
              <w:spacing w:after="0"/>
            </w:pPr>
            <w:r/>
            <w:r>
              <w:rPr>
                <w:b w:val="0"/>
                <w:sz w:val="20"/>
              </w:rPr>
              <w:t>Deadline sync to Google Calendar and Outlook</w:t>
            </w:r>
          </w:p>
        </w:tc>
      </w:tr>
      <w:tr>
        <w:tc>
          <w:tcPr>
            <w:tcW w:type="dxa" w:w="4680"/>
          </w:tcPr>
          <w:p>
            <w:pPr>
              <w:spacing w:after="0"/>
            </w:pPr>
            <w:r/>
            <w:r>
              <w:rPr>
                <w:b w:val="0"/>
                <w:sz w:val="20"/>
              </w:rPr>
              <w:t>SMS</w:t>
            </w:r>
          </w:p>
        </w:tc>
        <w:tc>
          <w:tcPr>
            <w:tcW w:type="dxa" w:w="4680"/>
          </w:tcPr>
          <w:p>
            <w:pPr>
              <w:spacing w:after="0"/>
            </w:pPr>
            <w:r/>
            <w:r>
              <w:rPr>
                <w:b w:val="0"/>
                <w:sz w:val="20"/>
              </w:rPr>
              <w:t>Text-based deal queries and instructions</w:t>
            </w:r>
          </w:p>
        </w:tc>
      </w:tr>
      <w:tr>
        <w:tc>
          <w:tcPr>
            <w:tcW w:type="dxa" w:w="4680"/>
          </w:tcPr>
          <w:p>
            <w:pPr>
              <w:spacing w:after="0"/>
            </w:pPr>
            <w:r/>
            <w:r>
              <w:rPr>
                <w:b w:val="0"/>
                <w:sz w:val="20"/>
              </w:rPr>
              <w:t>Integrations</w:t>
            </w:r>
          </w:p>
        </w:tc>
        <w:tc>
          <w:tcPr>
            <w:tcW w:type="dxa" w:w="4680"/>
          </w:tcPr>
          <w:p>
            <w:pPr>
              <w:spacing w:after="0"/>
            </w:pPr>
            <w:r/>
            <w:r>
              <w:rPr>
                <w:b w:val="0"/>
                <w:sz w:val="20"/>
              </w:rPr>
              <w:t>Gmail, Outlook, Follow Up Boss, Calendar</w:t>
            </w:r>
          </w:p>
        </w:tc>
      </w:tr>
      <w:tr>
        <w:tc>
          <w:tcPr>
            <w:tcW w:type="dxa" w:w="4680"/>
          </w:tcPr>
          <w:p>
            <w:pPr>
              <w:spacing w:after="0"/>
            </w:pPr>
            <w:r/>
            <w:r>
              <w:rPr>
                <w:b w:val="0"/>
                <w:sz w:val="20"/>
              </w:rPr>
              <w:t>Ava Sign</w:t>
            </w:r>
          </w:p>
        </w:tc>
        <w:tc>
          <w:tcPr>
            <w:tcW w:type="dxa" w:w="4680"/>
          </w:tcPr>
          <w:p>
            <w:pPr>
              <w:spacing w:after="0"/>
            </w:pPr>
            <w:r/>
            <w:r>
              <w:rPr>
                <w:b w:val="0"/>
                <w:sz w:val="20"/>
              </w:rPr>
              <w:t>Integrated e-signature; $29.99 per user per month after 30-day trial</w:t>
            </w:r>
          </w:p>
        </w:tc>
      </w:tr>
      <w:tr>
        <w:tc>
          <w:tcPr>
            <w:tcW w:type="dxa" w:w="4680"/>
          </w:tcPr>
          <w:p>
            <w:pPr>
              <w:spacing w:after="0"/>
            </w:pPr>
            <w:r/>
            <w:r>
              <w:rPr>
                <w:b w:val="0"/>
                <w:sz w:val="20"/>
              </w:rPr>
              <w:t>Pricing</w:t>
            </w:r>
          </w:p>
        </w:tc>
        <w:tc>
          <w:tcPr>
            <w:tcW w:type="dxa" w:w="4680"/>
          </w:tcPr>
          <w:p>
            <w:pPr>
              <w:spacing w:after="0"/>
            </w:pPr>
            <w:r/>
            <w:r>
              <w:rPr>
                <w:b w:val="0"/>
                <w:sz w:val="20"/>
              </w:rPr>
              <w:t>$14.99 per credit, reducing to $11.00 in bulk; first transaction free; no seat fees</w:t>
            </w:r>
          </w:p>
        </w:tc>
      </w:tr>
    </w:tbl>
    <w:p/>
    <w:p>
      <w:pPr>
        <w:pStyle w:val="Heading2"/>
        <w:spacing w:after="80" w:before="240"/>
      </w:pPr>
      <w:r>
        <w:t>2.2 Not yet released</w:t>
      </w:r>
    </w:p>
    <w:p>
      <w:pPr>
        <w:spacing w:after="80"/>
      </w:pPr>
      <w:r>
        <w:rPr>
          <w:b w:val="0"/>
          <w:sz w:val="20"/>
        </w:rPr>
        <w:t xml:space="preserve">ListedKit's "Agentic Ava" capability set — overnight inbox monitoring, drafts prepared before the user asks, and unprompted party updates — remains </w:t>
      </w:r>
      <w:r>
        <w:rPr>
          <w:b/>
          <w:sz w:val="20"/>
        </w:rPr>
        <w:t>Coming Soon / waitlist</w:t>
      </w:r>
      <w:r>
        <w:rPr>
          <w:b w:val="0"/>
          <w:sz w:val="20"/>
        </w:rPr>
        <w:t xml:space="preserve"> on their own product page.</w:t>
      </w:r>
    </w:p>
    <w:p>
      <w:pPr>
        <w:pStyle w:val="Heading2"/>
        <w:spacing w:after="80" w:before="240"/>
      </w:pPr>
      <w:r>
        <w:t>2.3 Competitive assessment</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ListedKit advantage</w:t>
            </w:r>
          </w:p>
        </w:tc>
        <w:tc>
          <w:tcPr>
            <w:tcW w:type="dxa" w:w="4680"/>
            <w:shd w:val="clear" w:color="auto" w:fill="D9E2F3"/>
          </w:tcPr>
          <w:p>
            <w:pPr>
              <w:spacing w:after="0"/>
            </w:pPr>
            <w:r/>
            <w:r>
              <w:rPr>
                <w:b/>
                <w:sz w:val="20"/>
              </w:rPr>
              <w:t>Velvet Elves counter-position</w:t>
            </w:r>
          </w:p>
        </w:tc>
      </w:tr>
      <w:tr>
        <w:tc>
          <w:tcPr>
            <w:tcW w:type="dxa" w:w="4680"/>
          </w:tcPr>
          <w:p>
            <w:pPr>
              <w:spacing w:after="0"/>
            </w:pPr>
            <w:r/>
            <w:r>
              <w:rPr>
                <w:b w:val="0"/>
                <w:sz w:val="20"/>
              </w:rPr>
              <w:t>Simpler single-loop product story</w:t>
            </w:r>
          </w:p>
        </w:tc>
        <w:tc>
          <w:tcPr>
            <w:tcW w:type="dxa" w:w="4680"/>
          </w:tcPr>
          <w:p>
            <w:pPr>
              <w:spacing w:after="0"/>
            </w:pPr>
            <w:r/>
            <w:r>
              <w:rPr>
                <w:b w:val="0"/>
                <w:sz w:val="20"/>
              </w:rPr>
              <w:t>Demonstrate one complete closing file end to end</w:t>
            </w:r>
          </w:p>
        </w:tc>
      </w:tr>
      <w:tr>
        <w:tc>
          <w:tcPr>
            <w:tcW w:type="dxa" w:w="4680"/>
          </w:tcPr>
          <w:p>
            <w:pPr>
              <w:spacing w:after="0"/>
            </w:pPr>
            <w:r/>
            <w:r>
              <w:rPr>
                <w:b w:val="0"/>
                <w:sz w:val="20"/>
              </w:rPr>
              <w:t>SMS and named Follow Up Boss integration</w:t>
            </w:r>
          </w:p>
        </w:tc>
        <w:tc>
          <w:tcPr>
            <w:tcW w:type="dxa" w:w="4680"/>
          </w:tcPr>
          <w:p>
            <w:pPr>
              <w:spacing w:after="0"/>
            </w:pPr>
            <w:r/>
            <w:r>
              <w:rPr>
                <w:b w:val="0"/>
                <w:sz w:val="20"/>
              </w:rPr>
              <w:t>Exclude from claims; compete on platform depth</w:t>
            </w:r>
          </w:p>
        </w:tc>
      </w:tr>
      <w:tr>
        <w:tc>
          <w:tcPr>
            <w:tcW w:type="dxa" w:w="4680"/>
          </w:tcPr>
          <w:p>
            <w:pPr>
              <w:spacing w:after="0"/>
            </w:pPr>
            <w:r/>
            <w:r>
              <w:rPr>
                <w:b w:val="0"/>
                <w:sz w:val="20"/>
              </w:rPr>
              <w:t>Lower headline price</w:t>
            </w:r>
          </w:p>
        </w:tc>
        <w:tc>
          <w:tcPr>
            <w:tcW w:type="dxa" w:w="4680"/>
          </w:tcPr>
          <w:p>
            <w:pPr>
              <w:spacing w:after="0"/>
            </w:pPr>
            <w:r/>
            <w:r>
              <w:rPr>
                <w:b w:val="0"/>
                <w:sz w:val="20"/>
              </w:rPr>
              <w:t>Founding flat fee covering the full platform; first transaction free</w:t>
            </w:r>
          </w:p>
        </w:tc>
      </w:tr>
      <w:tr>
        <w:tc>
          <w:tcPr>
            <w:tcW w:type="dxa" w:w="4680"/>
          </w:tcPr>
          <w:p>
            <w:pPr>
              <w:spacing w:after="0"/>
            </w:pPr>
            <w:r/>
            <w:r>
              <w:rPr>
                <w:b w:val="0"/>
                <w:sz w:val="20"/>
              </w:rPr>
              <w:t>Established public proof</w:t>
            </w:r>
          </w:p>
        </w:tc>
        <w:tc>
          <w:tcPr>
            <w:tcW w:type="dxa" w:w="4680"/>
          </w:tcPr>
          <w:p>
            <w:pPr>
              <w:spacing w:after="0"/>
            </w:pPr>
            <w:r/>
            <w:r>
              <w:rPr>
                <w:b w:val="0"/>
                <w:sz w:val="20"/>
              </w:rPr>
              <w:t>Complete help content, dense demonstration data, accurate marketing</w:t>
            </w:r>
          </w:p>
        </w:tc>
      </w:tr>
      <w:tr>
        <w:tc>
          <w:tcPr>
            <w:tcW w:type="dxa" w:w="4680"/>
          </w:tcPr>
          <w:p>
            <w:pPr>
              <w:spacing w:after="0"/>
            </w:pPr>
            <w:r/>
            <w:r>
              <w:rPr>
                <w:b w:val="0"/>
                <w:sz w:val="20"/>
              </w:rPr>
              <w:t>Agentic Ava marketing narrative</w:t>
            </w:r>
          </w:p>
        </w:tc>
        <w:tc>
          <w:tcPr>
            <w:tcW w:type="dxa" w:w="4680"/>
          </w:tcPr>
          <w:p>
            <w:pPr>
              <w:spacing w:after="0"/>
            </w:pPr>
            <w:r/>
            <w:r>
              <w:rPr>
                <w:b w:val="0"/>
                <w:sz w:val="20"/>
              </w:rPr>
              <w:t>Release Morning Queue as a working, review-gated capability</w:t>
            </w:r>
          </w:p>
        </w:tc>
      </w:tr>
    </w:tbl>
    <w:p/>
    <w:p>
      <w:pPr>
        <w:spacing w:after="120"/>
      </w:pPr>
    </w:p>
    <w:p>
      <w:pPr>
        <w:pStyle w:val="Heading1"/>
        <w:spacing w:after="120" w:before="360"/>
      </w:pPr>
      <w:r>
        <w:t>3. Current Implementation Status</w:t>
      </w:r>
    </w:p>
    <w:p>
      <w:pPr>
        <w:spacing w:after="80"/>
      </w:pPr>
      <w:r>
        <w:rPr>
          <w:b w:val="0"/>
          <w:sz w:val="20"/>
        </w:rPr>
        <w:t>Verified against source code; superseding any conflicting statements in earlier milestone documentation.</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Domain</w:t>
            </w:r>
          </w:p>
        </w:tc>
        <w:tc>
          <w:tcPr>
            <w:tcW w:type="dxa" w:w="4680"/>
            <w:shd w:val="clear" w:color="auto" w:fill="D9E2F3"/>
          </w:tcPr>
          <w:p>
            <w:pPr>
              <w:spacing w:after="0"/>
            </w:pPr>
            <w:r/>
            <w:r>
              <w:rPr>
                <w:b/>
                <w:sz w:val="20"/>
              </w:rPr>
              <w:t>Status</w:t>
            </w:r>
          </w:p>
        </w:tc>
      </w:tr>
      <w:tr>
        <w:tc>
          <w:tcPr>
            <w:tcW w:type="dxa" w:w="4680"/>
          </w:tcPr>
          <w:p>
            <w:pPr>
              <w:spacing w:after="0"/>
            </w:pPr>
            <w:r/>
            <w:r>
              <w:rPr>
                <w:b w:val="0"/>
                <w:sz w:val="20"/>
              </w:rPr>
              <w:t>Authentication, RBAC (8 roles), multi-workspace, onboarding</w:t>
            </w:r>
          </w:p>
        </w:tc>
        <w:tc>
          <w:tcPr>
            <w:tcW w:type="dxa" w:w="4680"/>
          </w:tcPr>
          <w:p>
            <w:pPr>
              <w:spacing w:after="0"/>
            </w:pPr>
            <w:r/>
            <w:r>
              <w:rPr>
                <w:b w:val="0"/>
                <w:sz w:val="20"/>
              </w:rPr>
              <w:t>Implemented</w:t>
            </w:r>
          </w:p>
        </w:tc>
      </w:tr>
      <w:tr>
        <w:tc>
          <w:tcPr>
            <w:tcW w:type="dxa" w:w="4680"/>
          </w:tcPr>
          <w:p>
            <w:pPr>
              <w:spacing w:after="0"/>
            </w:pPr>
            <w:r/>
            <w:r>
              <w:rPr>
                <w:b w:val="0"/>
                <w:sz w:val="20"/>
              </w:rPr>
              <w:t>Role dashboards (Agent, Team Lead, Admin, Attorney, Client, FSBO, Vendor)</w:t>
            </w:r>
          </w:p>
        </w:tc>
        <w:tc>
          <w:tcPr>
            <w:tcW w:type="dxa" w:w="4680"/>
          </w:tcPr>
          <w:p>
            <w:pPr>
              <w:spacing w:after="0"/>
            </w:pPr>
            <w:r/>
            <w:r>
              <w:rPr>
                <w:b w:val="0"/>
                <w:sz w:val="20"/>
              </w:rPr>
              <w:t>Implemented</w:t>
            </w:r>
          </w:p>
        </w:tc>
      </w:tr>
      <w:tr>
        <w:tc>
          <w:tcPr>
            <w:tcW w:type="dxa" w:w="4680"/>
          </w:tcPr>
          <w:p>
            <w:pPr>
              <w:spacing w:after="0"/>
            </w:pPr>
            <w:r/>
            <w:r>
              <w:rPr>
                <w:b w:val="0"/>
                <w:sz w:val="20"/>
              </w:rPr>
              <w:t>Active Transactions pipeline, statuses, filters</w:t>
            </w:r>
          </w:p>
        </w:tc>
        <w:tc>
          <w:tcPr>
            <w:tcW w:type="dxa" w:w="4680"/>
          </w:tcPr>
          <w:p>
            <w:pPr>
              <w:spacing w:after="0"/>
            </w:pPr>
            <w:r/>
            <w:r>
              <w:rPr>
                <w:b w:val="0"/>
                <w:sz w:val="20"/>
              </w:rPr>
              <w:t>Implemented</w:t>
            </w:r>
          </w:p>
        </w:tc>
      </w:tr>
      <w:tr>
        <w:tc>
          <w:tcPr>
            <w:tcW w:type="dxa" w:w="4680"/>
          </w:tcPr>
          <w:p>
            <w:pPr>
              <w:spacing w:after="0"/>
            </w:pPr>
            <w:r/>
            <w:r>
              <w:rPr>
                <w:b w:val="0"/>
                <w:sz w:val="20"/>
              </w:rPr>
              <w:t>AI packet intake (multi-document parsing, citations, verification)</w:t>
            </w:r>
          </w:p>
        </w:tc>
        <w:tc>
          <w:tcPr>
            <w:tcW w:type="dxa" w:w="4680"/>
          </w:tcPr>
          <w:p>
            <w:pPr>
              <w:spacing w:after="0"/>
            </w:pPr>
            <w:r/>
            <w:r>
              <w:rPr>
                <w:b w:val="0"/>
                <w:sz w:val="20"/>
              </w:rPr>
              <w:t>Implemented</w:t>
            </w:r>
          </w:p>
        </w:tc>
      </w:tr>
      <w:tr>
        <w:tc>
          <w:tcPr>
            <w:tcW w:type="dxa" w:w="4680"/>
          </w:tcPr>
          <w:p>
            <w:pPr>
              <w:spacing w:after="0"/>
            </w:pPr>
            <w:r/>
            <w:r>
              <w:rPr>
                <w:b w:val="0"/>
                <w:sz w:val="20"/>
              </w:rPr>
              <w:t>Deterministic task generation, playbooks, templates, closing checklists</w:t>
            </w:r>
          </w:p>
        </w:tc>
        <w:tc>
          <w:tcPr>
            <w:tcW w:type="dxa" w:w="4680"/>
          </w:tcPr>
          <w:p>
            <w:pPr>
              <w:spacing w:after="0"/>
            </w:pPr>
            <w:r/>
            <w:r>
              <w:rPr>
                <w:b w:val="0"/>
                <w:sz w:val="20"/>
              </w:rPr>
              <w:t>Implemented</w:t>
            </w:r>
          </w:p>
        </w:tc>
      </w:tr>
      <w:tr>
        <w:tc>
          <w:tcPr>
            <w:tcW w:type="dxa" w:w="4680"/>
          </w:tcPr>
          <w:p>
            <w:pPr>
              <w:spacing w:after="0"/>
            </w:pPr>
            <w:r/>
            <w:r>
              <w:rPr>
                <w:b w:val="0"/>
                <w:sz w:val="20"/>
              </w:rPr>
              <w:t>Deal workspace (Overview, Timeline, Compliance, Tasks, Documents, Contacts, Billing, Activity, Email)</w:t>
            </w:r>
          </w:p>
        </w:tc>
        <w:tc>
          <w:tcPr>
            <w:tcW w:type="dxa" w:w="4680"/>
          </w:tcPr>
          <w:p>
            <w:pPr>
              <w:spacing w:after="0"/>
            </w:pPr>
            <w:r/>
            <w:r>
              <w:rPr>
                <w:b w:val="0"/>
                <w:sz w:val="20"/>
              </w:rPr>
              <w:t>Implemented</w:t>
            </w:r>
          </w:p>
        </w:tc>
      </w:tr>
      <w:tr>
        <w:tc>
          <w:tcPr>
            <w:tcW w:type="dxa" w:w="4680"/>
          </w:tcPr>
          <w:p>
            <w:pPr>
              <w:spacing w:after="0"/>
            </w:pPr>
            <w:r/>
            <w:r>
              <w:rPr>
                <w:b w:val="0"/>
                <w:sz w:val="20"/>
              </w:rPr>
              <w:t>Document management, versioning, requirements, compliance tracking</w:t>
            </w:r>
          </w:p>
        </w:tc>
        <w:tc>
          <w:tcPr>
            <w:tcW w:type="dxa" w:w="4680"/>
          </w:tcPr>
          <w:p>
            <w:pPr>
              <w:spacing w:after="0"/>
            </w:pPr>
            <w:r/>
            <w:r>
              <w:rPr>
                <w:b w:val="0"/>
                <w:sz w:val="20"/>
              </w:rPr>
              <w:t>Implemented</w:t>
            </w:r>
          </w:p>
        </w:tc>
      </w:tr>
      <w:tr>
        <w:tc>
          <w:tcPr>
            <w:tcW w:type="dxa" w:w="4680"/>
          </w:tcPr>
          <w:p>
            <w:pPr>
              <w:spacing w:after="0"/>
            </w:pPr>
            <w:r/>
            <w:r>
              <w:rPr>
                <w:b w:val="0"/>
                <w:sz w:val="20"/>
              </w:rPr>
              <w:t>Needs You approvals, automation postures, AI suggestions, deal agent</w:t>
            </w:r>
          </w:p>
        </w:tc>
        <w:tc>
          <w:tcPr>
            <w:tcW w:type="dxa" w:w="4680"/>
          </w:tcPr>
          <w:p>
            <w:pPr>
              <w:spacing w:after="0"/>
            </w:pPr>
            <w:r/>
            <w:r>
              <w:rPr>
                <w:b w:val="0"/>
                <w:sz w:val="20"/>
              </w:rPr>
              <w:t>Implemented</w:t>
            </w:r>
          </w:p>
        </w:tc>
      </w:tr>
      <w:tr>
        <w:tc>
          <w:tcPr>
            <w:tcW w:type="dxa" w:w="4680"/>
          </w:tcPr>
          <w:p>
            <w:pPr>
              <w:spacing w:after="0"/>
            </w:pPr>
            <w:r/>
            <w:r>
              <w:rPr>
                <w:b w:val="0"/>
                <w:sz w:val="20"/>
              </w:rPr>
              <w:t>Gmail and Outlook connection, inbound triage and deal matching, AI drafts, templates</w:t>
            </w:r>
          </w:p>
        </w:tc>
        <w:tc>
          <w:tcPr>
            <w:tcW w:type="dxa" w:w="4680"/>
          </w:tcPr>
          <w:p>
            <w:pPr>
              <w:spacing w:after="0"/>
            </w:pPr>
            <w:r/>
            <w:r>
              <w:rPr>
                <w:b w:val="0"/>
                <w:sz w:val="20"/>
              </w:rPr>
              <w:t>Implemented</w:t>
            </w:r>
          </w:p>
        </w:tc>
      </w:tr>
      <w:tr>
        <w:tc>
          <w:tcPr>
            <w:tcW w:type="dxa" w:w="4680"/>
          </w:tcPr>
          <w:p>
            <w:pPr>
              <w:spacing w:after="0"/>
            </w:pPr>
            <w:r/>
            <w:r>
              <w:rPr>
                <w:b w:val="0"/>
                <w:sz w:val="20"/>
              </w:rPr>
              <w:t>Closing calendar and Google/Outlook calendar push</w:t>
            </w:r>
          </w:p>
        </w:tc>
        <w:tc>
          <w:tcPr>
            <w:tcW w:type="dxa" w:w="4680"/>
          </w:tcPr>
          <w:p>
            <w:pPr>
              <w:spacing w:after="0"/>
            </w:pPr>
            <w:r/>
            <w:r>
              <w:rPr>
                <w:b w:val="0"/>
                <w:sz w:val="20"/>
              </w:rPr>
              <w:t>Implemented</w:t>
            </w:r>
          </w:p>
        </w:tc>
      </w:tr>
      <w:tr>
        <w:tc>
          <w:tcPr>
            <w:tcW w:type="dxa" w:w="4680"/>
          </w:tcPr>
          <w:p>
            <w:pPr>
              <w:spacing w:after="0"/>
            </w:pPr>
            <w:r/>
            <w:r>
              <w:rPr>
                <w:b w:val="0"/>
                <w:sz w:val="20"/>
              </w:rPr>
              <w:t>Client portal, FSBO workspace with public milestone sharing, Vendor portal</w:t>
            </w:r>
          </w:p>
        </w:tc>
        <w:tc>
          <w:tcPr>
            <w:tcW w:type="dxa" w:w="4680"/>
          </w:tcPr>
          <w:p>
            <w:pPr>
              <w:spacing w:after="0"/>
            </w:pPr>
            <w:r/>
            <w:r>
              <w:rPr>
                <w:b w:val="0"/>
                <w:sz w:val="20"/>
              </w:rPr>
              <w:t>Implemented</w:t>
            </w:r>
          </w:p>
        </w:tc>
      </w:tr>
      <w:tr>
        <w:tc>
          <w:tcPr>
            <w:tcW w:type="dxa" w:w="4680"/>
          </w:tcPr>
          <w:p>
            <w:pPr>
              <w:spacing w:after="0"/>
            </w:pPr>
            <w:r/>
            <w:r>
              <w:rPr>
                <w:b w:val="0"/>
                <w:sz w:val="20"/>
              </w:rPr>
              <w:t>Attorney matters, review queues, state rules, release workflow</w:t>
            </w:r>
          </w:p>
        </w:tc>
        <w:tc>
          <w:tcPr>
            <w:tcW w:type="dxa" w:w="4680"/>
          </w:tcPr>
          <w:p>
            <w:pPr>
              <w:spacing w:after="0"/>
            </w:pPr>
            <w:r/>
            <w:r>
              <w:rPr>
                <w:b w:val="0"/>
                <w:sz w:val="20"/>
              </w:rPr>
              <w:t>Implemented</w:t>
            </w:r>
          </w:p>
        </w:tc>
      </w:tr>
      <w:tr>
        <w:tc>
          <w:tcPr>
            <w:tcW w:type="dxa" w:w="4680"/>
          </w:tcPr>
          <w:p>
            <w:pPr>
              <w:spacing w:after="0"/>
            </w:pPr>
            <w:r/>
            <w:r>
              <w:rPr>
                <w:b w:val="0"/>
                <w:sz w:val="20"/>
              </w:rPr>
              <w:t>Invoicing and Stripe payment processing</w:t>
            </w:r>
          </w:p>
        </w:tc>
        <w:tc>
          <w:tcPr>
            <w:tcW w:type="dxa" w:w="4680"/>
          </w:tcPr>
          <w:p>
            <w:pPr>
              <w:spacing w:after="0"/>
            </w:pPr>
            <w:r/>
            <w:r>
              <w:rPr>
                <w:b w:val="0"/>
                <w:sz w:val="20"/>
              </w:rPr>
              <w:t>Implemented</w:t>
            </w:r>
          </w:p>
        </w:tc>
      </w:tr>
      <w:tr>
        <w:tc>
          <w:tcPr>
            <w:tcW w:type="dxa" w:w="4680"/>
          </w:tcPr>
          <w:p>
            <w:pPr>
              <w:spacing w:after="0"/>
            </w:pPr>
            <w:r/>
            <w:r>
              <w:rPr>
                <w:b w:val="0"/>
                <w:sz w:val="20"/>
              </w:rPr>
              <w:t>Audit logs, admin configuration, tenant branding, analytics, notifications, webhooks</w:t>
            </w:r>
          </w:p>
        </w:tc>
        <w:tc>
          <w:tcPr>
            <w:tcW w:type="dxa" w:w="4680"/>
          </w:tcPr>
          <w:p>
            <w:pPr>
              <w:spacing w:after="0"/>
            </w:pPr>
            <w:r/>
            <w:r>
              <w:rPr>
                <w:b w:val="0"/>
                <w:sz w:val="20"/>
              </w:rPr>
              <w:t>Implemented</w:t>
            </w:r>
          </w:p>
        </w:tc>
      </w:tr>
      <w:tr>
        <w:tc>
          <w:tcPr>
            <w:tcW w:type="dxa" w:w="4680"/>
          </w:tcPr>
          <w:p>
            <w:pPr>
              <w:spacing w:after="0"/>
            </w:pPr>
            <w:r/>
            <w:r>
              <w:rPr>
                <w:b w:val="0"/>
                <w:sz w:val="20"/>
              </w:rPr>
              <w:t>Marketing website, help centre platform, platform administration</w:t>
            </w:r>
          </w:p>
        </w:tc>
        <w:tc>
          <w:tcPr>
            <w:tcW w:type="dxa" w:w="4680"/>
          </w:tcPr>
          <w:p>
            <w:pPr>
              <w:spacing w:after="0"/>
            </w:pPr>
            <w:r/>
            <w:r>
              <w:rPr>
                <w:b w:val="0"/>
                <w:sz w:val="20"/>
              </w:rPr>
              <w:t>Implemented</w:t>
            </w:r>
          </w:p>
        </w:tc>
      </w:tr>
      <w:tr>
        <w:tc>
          <w:tcPr>
            <w:tcW w:type="dxa" w:w="4680"/>
          </w:tcPr>
          <w:p>
            <w:pPr>
              <w:spacing w:after="0"/>
            </w:pPr>
            <w:r/>
            <w:r>
              <w:rPr>
                <w:b w:val="0"/>
                <w:sz w:val="20"/>
              </w:rPr>
              <w:t>Overnight scheduler (Morning Queue)</w:t>
            </w:r>
          </w:p>
        </w:tc>
        <w:tc>
          <w:tcPr>
            <w:tcW w:type="dxa" w:w="4680"/>
          </w:tcPr>
          <w:p>
            <w:pPr>
              <w:spacing w:after="0"/>
            </w:pPr>
            <w:r/>
            <w:r>
              <w:rPr>
                <w:b w:val="0"/>
                <w:sz w:val="20"/>
              </w:rPr>
              <w:t>Built; not enabled</w:t>
            </w:r>
          </w:p>
        </w:tc>
      </w:tr>
      <w:tr>
        <w:tc>
          <w:tcPr>
            <w:tcW w:type="dxa" w:w="4680"/>
          </w:tcPr>
          <w:p>
            <w:pPr>
              <w:spacing w:after="0"/>
            </w:pPr>
            <w:r/>
            <w:r>
              <w:rPr>
                <w:b w:val="0"/>
                <w:sz w:val="20"/>
              </w:rPr>
              <w:t>Credit/flat-fee billing and founding price</w:t>
            </w:r>
          </w:p>
        </w:tc>
        <w:tc>
          <w:tcPr>
            <w:tcW w:type="dxa" w:w="4680"/>
          </w:tcPr>
          <w:p>
            <w:pPr>
              <w:spacing w:after="0"/>
            </w:pPr>
            <w:r/>
            <w:r>
              <w:rPr>
                <w:b w:val="0"/>
                <w:sz w:val="20"/>
              </w:rPr>
              <w:t>Built; requires configuration</w:t>
            </w:r>
          </w:p>
        </w:tc>
      </w:tr>
      <w:tr>
        <w:tc>
          <w:tcPr>
            <w:tcW w:type="dxa" w:w="4680"/>
          </w:tcPr>
          <w:p>
            <w:pPr>
              <w:spacing w:after="0"/>
            </w:pPr>
            <w:r/>
            <w:r>
              <w:rPr>
                <w:b w:val="0"/>
                <w:sz w:val="20"/>
              </w:rPr>
              <w:t>DocuSign</w:t>
            </w:r>
          </w:p>
        </w:tc>
        <w:tc>
          <w:tcPr>
            <w:tcW w:type="dxa" w:w="4680"/>
          </w:tcPr>
          <w:p>
            <w:pPr>
              <w:spacing w:after="0"/>
            </w:pPr>
            <w:r/>
            <w:r>
              <w:rPr>
                <w:b w:val="0"/>
                <w:sz w:val="20"/>
              </w:rPr>
              <w:t>Built; production account not connected</w:t>
            </w:r>
          </w:p>
        </w:tc>
      </w:tr>
      <w:tr>
        <w:tc>
          <w:tcPr>
            <w:tcW w:type="dxa" w:w="4680"/>
          </w:tcPr>
          <w:p>
            <w:pPr>
              <w:spacing w:after="0"/>
            </w:pPr>
            <w:r/>
            <w:r>
              <w:rPr>
                <w:b w:val="0"/>
                <w:sz w:val="20"/>
              </w:rPr>
              <w:t>SMS, voice, native Follow Up Boss, AI Coach</w:t>
            </w:r>
          </w:p>
        </w:tc>
        <w:tc>
          <w:tcPr>
            <w:tcW w:type="dxa" w:w="4680"/>
          </w:tcPr>
          <w:p>
            <w:pPr>
              <w:spacing w:after="0"/>
            </w:pPr>
            <w:r/>
            <w:r>
              <w:rPr>
                <w:b w:val="0"/>
                <w:sz w:val="20"/>
              </w:rPr>
              <w:t>Not built</w:t>
            </w:r>
          </w:p>
        </w:tc>
      </w:tr>
    </w:tbl>
    <w:p/>
    <w:p>
      <w:pPr>
        <w:spacing w:after="120"/>
      </w:pPr>
    </w:p>
    <w:p>
      <w:pPr>
        <w:pStyle w:val="Heading1"/>
        <w:spacing w:after="120" w:before="360"/>
      </w:pPr>
      <w:r>
        <w:t>4. Proposed Release Scope</w:t>
      </w:r>
    </w:p>
    <w:p>
      <w:pPr>
        <w:pStyle w:val="Heading2"/>
        <w:spacing w:after="80" w:before="240"/>
      </w:pPr>
      <w:r>
        <w:t>4.1 Released at the conference</w:t>
      </w:r>
    </w:p>
    <w:p>
      <w:pPr>
        <w:spacing w:after="80"/>
      </w:pPr>
      <w:r>
        <w:rPr>
          <w:b w:val="0"/>
          <w:sz w:val="20"/>
        </w:rPr>
        <w:t>The full implemented platform as listed in Section 3, covering all eight roles, the intake and task engine, the deal workspace, automation and communication, all four external portals, the attorney workspace, payments, and administration.</w:t>
      </w:r>
    </w:p>
    <w:p>
      <w:pPr>
        <w:pStyle w:val="Heading2"/>
        <w:spacing w:after="80" w:before="240"/>
      </w:pPr>
      <w:r>
        <w:t>4.2 Enablement required before September 12</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Item</w:t>
            </w:r>
          </w:p>
        </w:tc>
        <w:tc>
          <w:tcPr>
            <w:tcW w:type="dxa" w:w="4680"/>
            <w:shd w:val="clear" w:color="auto" w:fill="D9E2F3"/>
          </w:tcPr>
          <w:p>
            <w:pPr>
              <w:spacing w:after="0"/>
            </w:pPr>
            <w:r/>
            <w:r>
              <w:rPr>
                <w:b/>
                <w:sz w:val="20"/>
              </w:rPr>
              <w:t>Action required</w:t>
            </w:r>
          </w:p>
        </w:tc>
      </w:tr>
      <w:tr>
        <w:tc>
          <w:tcPr>
            <w:tcW w:type="dxa" w:w="4680"/>
          </w:tcPr>
          <w:p>
            <w:pPr>
              <w:spacing w:after="0"/>
            </w:pPr>
            <w:r/>
            <w:r>
              <w:rPr>
                <w:b w:val="0"/>
                <w:sz w:val="20"/>
              </w:rPr>
              <w:t>Morning Queue</w:t>
            </w:r>
          </w:p>
        </w:tc>
        <w:tc>
          <w:tcPr>
            <w:tcW w:type="dxa" w:w="4680"/>
          </w:tcPr>
          <w:p>
            <w:pPr>
              <w:spacing w:after="0"/>
            </w:pPr>
            <w:r/>
            <w:r>
              <w:rPr>
                <w:b w:val="0"/>
                <w:sz w:val="20"/>
              </w:rPr>
              <w:t>Enable scheduled sweep in staging, soak, then promote to production; overnight preparation only, no sending outside policy</w:t>
            </w:r>
          </w:p>
        </w:tc>
      </w:tr>
      <w:tr>
        <w:tc>
          <w:tcPr>
            <w:tcW w:type="dxa" w:w="4680"/>
          </w:tcPr>
          <w:p>
            <w:pPr>
              <w:spacing w:after="0"/>
            </w:pPr>
            <w:r/>
            <w:r>
              <w:rPr>
                <w:b w:val="0"/>
                <w:sz w:val="20"/>
              </w:rPr>
              <w:t>Founding price and billing</w:t>
            </w:r>
          </w:p>
        </w:tc>
        <w:tc>
          <w:tcPr>
            <w:tcW w:type="dxa" w:w="4680"/>
          </w:tcPr>
          <w:p>
            <w:pPr>
              <w:spacing w:after="0"/>
            </w:pPr>
            <w:r/>
            <w:r>
              <w:rPr>
                <w:b w:val="0"/>
                <w:sz w:val="20"/>
              </w:rPr>
              <w:t>Confirm flat-fee billing active; set founding fee; align application and marketing pricing</w:t>
            </w:r>
          </w:p>
        </w:tc>
      </w:tr>
      <w:tr>
        <w:tc>
          <w:tcPr>
            <w:tcW w:type="dxa" w:w="4680"/>
          </w:tcPr>
          <w:p>
            <w:pPr>
              <w:spacing w:after="0"/>
            </w:pPr>
            <w:r/>
            <w:r>
              <w:rPr>
                <w:b w:val="0"/>
                <w:sz w:val="20"/>
              </w:rPr>
              <w:t>DocuSign</w:t>
            </w:r>
          </w:p>
        </w:tc>
        <w:tc>
          <w:tcPr>
            <w:tcW w:type="dxa" w:w="4680"/>
          </w:tcPr>
          <w:p>
            <w:pPr>
              <w:spacing w:after="0"/>
            </w:pPr>
            <w:r/>
            <w:r>
              <w:rPr>
                <w:b w:val="0"/>
                <w:sz w:val="20"/>
              </w:rPr>
              <w:t>Connect a production or sandbox account (production currently points at the DocuSign demo host) and verify send and return-to-file</w:t>
            </w:r>
          </w:p>
        </w:tc>
      </w:tr>
      <w:tr>
        <w:tc>
          <w:tcPr>
            <w:tcW w:type="dxa" w:w="4680"/>
          </w:tcPr>
          <w:p>
            <w:pPr>
              <w:spacing w:after="0"/>
            </w:pPr>
            <w:r/>
            <w:r>
              <w:rPr>
                <w:b w:val="0"/>
                <w:sz w:val="20"/>
              </w:rPr>
              <w:t>Automation postures</w:t>
            </w:r>
          </w:p>
        </w:tc>
        <w:tc>
          <w:tcPr>
            <w:tcW w:type="dxa" w:w="4680"/>
          </w:tcPr>
          <w:p>
            <w:pPr>
              <w:spacing w:after="0"/>
            </w:pPr>
            <w:r/>
            <w:r>
              <w:rPr>
                <w:b w:val="0"/>
                <w:sz w:val="20"/>
              </w:rPr>
              <w:t>Confirm assisted and autopilot remain tenant opt-in, with review-first as the default</w:t>
            </w:r>
          </w:p>
        </w:tc>
      </w:tr>
      <w:tr>
        <w:tc>
          <w:tcPr>
            <w:tcW w:type="dxa" w:w="4680"/>
          </w:tcPr>
          <w:p>
            <w:pPr>
              <w:spacing w:after="0"/>
            </w:pPr>
            <w:r/>
            <w:r>
              <w:rPr>
                <w:b w:val="0"/>
                <w:sz w:val="20"/>
              </w:rPr>
              <w:t>Help centre content</w:t>
            </w:r>
          </w:p>
        </w:tc>
        <w:tc>
          <w:tcPr>
            <w:tcW w:type="dxa" w:w="4680"/>
          </w:tcPr>
          <w:p>
            <w:pPr>
              <w:spacing w:after="0"/>
            </w:pPr>
            <w:r/>
            <w:r>
              <w:rPr>
                <w:b w:val="0"/>
                <w:sz w:val="20"/>
              </w:rPr>
              <w:t>Load the authored article set into the live database</w:t>
            </w:r>
          </w:p>
        </w:tc>
      </w:tr>
      <w:tr>
        <w:tc>
          <w:tcPr>
            <w:tcW w:type="dxa" w:w="4680"/>
          </w:tcPr>
          <w:p>
            <w:pPr>
              <w:spacing w:after="0"/>
            </w:pPr>
            <w:r/>
            <w:r>
              <w:rPr>
                <w:b w:val="0"/>
                <w:sz w:val="20"/>
              </w:rPr>
              <w:t>Demonstration data</w:t>
            </w:r>
          </w:p>
        </w:tc>
        <w:tc>
          <w:tcPr>
            <w:tcW w:type="dxa" w:w="4680"/>
          </w:tcPr>
          <w:p>
            <w:pPr>
              <w:spacing w:after="0"/>
            </w:pPr>
            <w:r/>
            <w:r>
              <w:rPr>
                <w:b w:val="0"/>
                <w:sz w:val="20"/>
              </w:rPr>
              <w:t>Seed a representative brokerage account with healthy and at-risk transactions</w:t>
            </w:r>
          </w:p>
        </w:tc>
      </w:tr>
      <w:tr>
        <w:tc>
          <w:tcPr>
            <w:tcW w:type="dxa" w:w="4680"/>
          </w:tcPr>
          <w:p>
            <w:pPr>
              <w:spacing w:after="0"/>
            </w:pPr>
            <w:r/>
            <w:r>
              <w:rPr>
                <w:b w:val="0"/>
                <w:sz w:val="20"/>
              </w:rPr>
              <w:t>Address type-ahead</w:t>
            </w:r>
          </w:p>
        </w:tc>
        <w:tc>
          <w:tcPr>
            <w:tcW w:type="dxa" w:w="4680"/>
          </w:tcPr>
          <w:p>
            <w:pPr>
              <w:spacing w:after="0"/>
            </w:pPr>
            <w:r/>
            <w:r>
              <w:rPr>
                <w:b w:val="0"/>
                <w:sz w:val="20"/>
              </w:rPr>
              <w:t>Optional; requires a maps service key. Not required for release</w:t>
            </w:r>
          </w:p>
        </w:tc>
      </w:tr>
    </w:tbl>
    <w:p/>
    <w:p>
      <w:pPr>
        <w:pStyle w:val="Heading2"/>
        <w:spacing w:after="80" w:before="240"/>
      </w:pPr>
      <w:r>
        <w:t>4.3 Excluded from all conference claims</w:t>
      </w:r>
    </w:p>
    <w:p>
      <w:pPr>
        <w:spacing w:after="80"/>
      </w:pPr>
      <w:r>
        <w:rPr>
          <w:b w:val="0"/>
          <w:sz w:val="20"/>
        </w:rPr>
        <w:t>SMS and voice channels; agent voice input; native Follow Up Boss and other named CRM adapters; AI Coach; the internal Sharing page; predictive and benchmarking analytics placeholders; web and mobile push notifications; FSBO self-serve signup; commission payouts (built but parked, with no live Stripe Connect account).</w:t>
      </w:r>
    </w:p>
    <w:p>
      <w:pPr>
        <w:spacing w:after="80"/>
      </w:pPr>
      <w:r>
        <w:rPr>
          <w:b w:val="0"/>
          <w:sz w:val="20"/>
        </w:rPr>
        <w:t>Marketing, presentation, and printed materials must be reconciled against Sections 4.1 and 4.3 before September 12.</w:t>
      </w:r>
    </w:p>
    <w:p>
      <w:pPr>
        <w:spacing w:after="120"/>
      </w:pPr>
    </w:p>
    <w:p>
      <w:pPr>
        <w:pStyle w:val="Heading1"/>
        <w:spacing w:after="120" w:before="360"/>
      </w:pPr>
      <w:r>
        <w:t>5. Delivery Plan</w:t>
      </w:r>
    </w:p>
    <w:p>
      <w:pPr>
        <w:spacing w:after="80"/>
      </w:pPr>
      <w:r>
        <w:rPr>
          <w:b w:val="0"/>
          <w:sz w:val="20"/>
        </w:rPr>
        <w:t>Feature work concludes September 5. The period from September 6 to 12 is reserved for verification and defect resolution only.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Phase</w:t>
            </w:r>
          </w:p>
        </w:tc>
        <w:tc>
          <w:tcPr>
            <w:tcW w:type="dxa" w:w="3120"/>
            <w:shd w:val="clear" w:color="auto" w:fill="D9E2F3"/>
          </w:tcPr>
          <w:p>
            <w:pPr>
              <w:spacing w:after="0"/>
            </w:pPr>
            <w:r/>
            <w:r>
              <w:rPr>
                <w:b/>
                <w:sz w:val="20"/>
              </w:rPr>
              <w:t>Dates</w:t>
            </w:r>
          </w:p>
        </w:tc>
        <w:tc>
          <w:tcPr>
            <w:tcW w:type="dxa" w:w="3120"/>
            <w:shd w:val="clear" w:color="auto" w:fill="D9E2F3"/>
          </w:tcPr>
          <w:p>
            <w:pPr>
              <w:spacing w:after="0"/>
            </w:pPr>
            <w:r/>
            <w:r>
              <w:rPr>
                <w:b/>
                <w:sz w:val="20"/>
              </w:rPr>
              <w:t>Scope</w:t>
            </w:r>
          </w:p>
        </w:tc>
      </w:tr>
      <w:tr>
        <w:tc>
          <w:tcPr>
            <w:tcW w:type="dxa" w:w="3120"/>
          </w:tcPr>
          <w:p>
            <w:pPr>
              <w:spacing w:after="0"/>
            </w:pPr>
            <w:r/>
            <w:r>
              <w:rPr>
                <w:b w:val="0"/>
                <w:sz w:val="20"/>
              </w:rPr>
              <w:t>1. Release baseline</w:t>
            </w:r>
          </w:p>
        </w:tc>
        <w:tc>
          <w:tcPr>
            <w:tcW w:type="dxa" w:w="3120"/>
          </w:tcPr>
          <w:p>
            <w:pPr>
              <w:spacing w:after="0"/>
            </w:pPr>
            <w:r/>
            <w:r>
              <w:rPr>
                <w:b w:val="0"/>
                <w:sz w:val="20"/>
              </w:rPr>
              <w:t>Aug 12–18</w:t>
            </w:r>
          </w:p>
        </w:tc>
        <w:tc>
          <w:tcPr>
            <w:tcW w:type="dxa" w:w="3120"/>
          </w:tcPr>
          <w:p>
            <w:pPr>
              <w:spacing w:after="0"/>
            </w:pPr>
            <w:r/>
            <w:r>
              <w:rPr>
                <w:b w:val="0"/>
                <w:sz w:val="20"/>
              </w:rPr>
              <w:t>Deploy outstanding intake and assistant fixes; seed demonstration account; verify all live paths on production; receive pricing decision</w:t>
            </w:r>
          </w:p>
        </w:tc>
      </w:tr>
      <w:tr>
        <w:tc>
          <w:tcPr>
            <w:tcW w:type="dxa" w:w="3120"/>
          </w:tcPr>
          <w:p>
            <w:pPr>
              <w:spacing w:after="0"/>
            </w:pPr>
            <w:r/>
            <w:r>
              <w:rPr>
                <w:b w:val="0"/>
                <w:sz w:val="20"/>
              </w:rPr>
              <w:t>2. Enablement</w:t>
            </w:r>
          </w:p>
        </w:tc>
        <w:tc>
          <w:tcPr>
            <w:tcW w:type="dxa" w:w="3120"/>
          </w:tcPr>
          <w:p>
            <w:pPr>
              <w:spacing w:after="0"/>
            </w:pPr>
            <w:r/>
            <w:r>
              <w:rPr>
                <w:b w:val="0"/>
                <w:sz w:val="20"/>
              </w:rPr>
              <w:t>Aug 19–28</w:t>
            </w:r>
          </w:p>
        </w:tc>
        <w:tc>
          <w:tcPr>
            <w:tcW w:type="dxa" w:w="3120"/>
          </w:tcPr>
          <w:p>
            <w:pPr>
              <w:spacing w:after="0"/>
            </w:pPr>
            <w:r/>
            <w:r>
              <w:rPr>
                <w:b w:val="0"/>
                <w:sz w:val="20"/>
              </w:rPr>
              <w:t>Enable Morning Queue via staging soak and production promotion; confirm billing configuration at founding price</w:t>
            </w:r>
          </w:p>
        </w:tc>
      </w:tr>
      <w:tr>
        <w:tc>
          <w:tcPr>
            <w:tcW w:type="dxa" w:w="3120"/>
          </w:tcPr>
          <w:p>
            <w:pPr>
              <w:spacing w:after="0"/>
            </w:pPr>
            <w:r/>
            <w:r>
              <w:rPr>
                <w:b w:val="0"/>
                <w:sz w:val="20"/>
              </w:rPr>
              <w:t>3. Connection and publication</w:t>
            </w:r>
          </w:p>
        </w:tc>
        <w:tc>
          <w:tcPr>
            <w:tcW w:type="dxa" w:w="3120"/>
          </w:tcPr>
          <w:p>
            <w:pPr>
              <w:spacing w:after="0"/>
            </w:pPr>
            <w:r/>
            <w:r>
              <w:rPr>
                <w:b w:val="0"/>
                <w:sz w:val="20"/>
              </w:rPr>
              <w:t>Aug 29–Sep 5</w:t>
            </w:r>
          </w:p>
        </w:tc>
        <w:tc>
          <w:tcPr>
            <w:tcW w:type="dxa" w:w="3120"/>
          </w:tcPr>
          <w:p>
            <w:pPr>
              <w:spacing w:after="0"/>
            </w:pPr>
            <w:r/>
            <w:r>
              <w:rPr>
                <w:b w:val="0"/>
                <w:sz w:val="20"/>
              </w:rPr>
              <w:t>Connect DocuSign; load help centre content; reconcile marketing claims; prepare portal demonstration accounts</w:t>
            </w:r>
          </w:p>
        </w:tc>
      </w:tr>
      <w:tr>
        <w:tc>
          <w:tcPr>
            <w:tcW w:type="dxa" w:w="3120"/>
          </w:tcPr>
          <w:p>
            <w:pPr>
              <w:spacing w:after="0"/>
            </w:pPr>
            <w:r/>
            <w:r>
              <w:rPr>
                <w:b w:val="0"/>
                <w:sz w:val="20"/>
              </w:rPr>
              <w:t>4. Verification and lock</w:t>
            </w:r>
          </w:p>
        </w:tc>
        <w:tc>
          <w:tcPr>
            <w:tcW w:type="dxa" w:w="3120"/>
          </w:tcPr>
          <w:p>
            <w:pPr>
              <w:spacing w:after="0"/>
            </w:pPr>
            <w:r/>
            <w:r>
              <w:rPr>
                <w:b w:val="0"/>
                <w:sz w:val="20"/>
              </w:rPr>
              <w:t>Sep 6–12</w:t>
            </w:r>
          </w:p>
        </w:tc>
        <w:tc>
          <w:tcPr>
            <w:tcW w:type="dxa" w:w="3120"/>
          </w:tcPr>
          <w:p>
            <w:pPr>
              <w:spacing w:after="0"/>
            </w:pPr>
            <w:r/>
            <w:r>
              <w:rPr>
                <w:b w:val="0"/>
                <w:sz w:val="20"/>
              </w:rPr>
              <w:t>Complete live testing against Section 7; resolve blocking defects; lock release</w:t>
            </w:r>
          </w:p>
        </w:tc>
      </w:tr>
    </w:tbl>
    <w:p/>
    <w:p>
      <w:pPr>
        <w:spacing w:after="80"/>
      </w:pPr>
      <w:r>
        <w:rPr>
          <w:b w:val="0"/>
          <w:sz w:val="20"/>
        </w:rPr>
        <w:t>Following the lock date, the September 13–21 period is reserved for presentation rehearsal and conference logistics.</w:t>
      </w:r>
    </w:p>
    <w:p>
      <w:pPr>
        <w:spacing w:after="120"/>
      </w:pPr>
    </w:p>
    <w:p>
      <w:pPr>
        <w:pStyle w:val="Heading1"/>
        <w:spacing w:after="120" w:before="360"/>
      </w:pPr>
      <w:r>
        <w:t>6. Conference Demonstration Plan</w:t>
      </w:r>
    </w:p>
    <w:p>
      <w:pPr>
        <w:spacing w:after="80"/>
      </w:pPr>
      <w:r>
        <w:rPr>
          <w:b w:val="0"/>
          <w:sz w:val="20"/>
        </w:rPr>
        <w:t>The primary demonstration is a five-minute sequence. It represents the demonstration path, not the limit of the released product.</w:t>
      </w:r>
    </w:p>
    <w:p>
      <w:pPr>
        <w:spacing w:after="40"/>
        <w:ind w:left="357" w:hanging="255"/>
      </w:pPr>
      <w:r>
        <w:rPr>
          <w:b w:val="0"/>
          <w:sz w:val="20"/>
        </w:rPr>
        <w:t xml:space="preserve">1. </w:t>
      </w:r>
      <w:r>
        <w:rPr>
          <w:b w:val="0"/>
          <w:sz w:val="20"/>
        </w:rPr>
        <w:t>Transaction pipeline with active deals</w:t>
      </w:r>
    </w:p>
    <w:p>
      <w:pPr>
        <w:spacing w:after="40"/>
        <w:ind w:left="357" w:hanging="255"/>
      </w:pPr>
      <w:r>
        <w:rPr>
          <w:b w:val="0"/>
          <w:sz w:val="20"/>
        </w:rPr>
        <w:t xml:space="preserve">2. </w:t>
      </w:r>
      <w:r>
        <w:rPr>
          <w:b w:val="0"/>
          <w:sz w:val="20"/>
        </w:rPr>
        <w:t>New transaction from a multi-document packet, showing citation and verification</w:t>
      </w:r>
    </w:p>
    <w:p>
      <w:pPr>
        <w:spacing w:after="40"/>
        <w:ind w:left="357" w:hanging="255"/>
      </w:pPr>
      <w:r>
        <w:rPr>
          <w:b w:val="0"/>
          <w:sz w:val="20"/>
        </w:rPr>
        <w:t xml:space="preserve">3. </w:t>
      </w:r>
      <w:r>
        <w:rPr>
          <w:b w:val="0"/>
          <w:sz w:val="20"/>
        </w:rPr>
        <w:t>Generated playbook tasks and timeline</w:t>
      </w:r>
    </w:p>
    <w:p>
      <w:pPr>
        <w:spacing w:after="40"/>
        <w:ind w:left="357" w:hanging="255"/>
      </w:pPr>
      <w:r>
        <w:rPr>
          <w:b w:val="0"/>
          <w:sz w:val="20"/>
        </w:rPr>
        <w:t xml:space="preserve">4. </w:t>
      </w:r>
      <w:r>
        <w:rPr>
          <w:b w:val="0"/>
          <w:sz w:val="20"/>
        </w:rPr>
        <w:t>Deal workspace: compliance and email</w:t>
      </w:r>
    </w:p>
    <w:p>
      <w:pPr>
        <w:spacing w:after="40"/>
        <w:ind w:left="357" w:hanging="255"/>
      </w:pPr>
      <w:r>
        <w:rPr>
          <w:b w:val="0"/>
          <w:sz w:val="20"/>
        </w:rPr>
        <w:t xml:space="preserve">5. </w:t>
      </w:r>
      <w:r>
        <w:rPr>
          <w:b w:val="0"/>
          <w:sz w:val="20"/>
        </w:rPr>
        <w:t>Needs You approval and send</w:t>
      </w:r>
    </w:p>
    <w:p>
      <w:pPr>
        <w:spacing w:after="40"/>
        <w:ind w:left="357" w:hanging="255"/>
      </w:pPr>
      <w:r>
        <w:rPr>
          <w:b w:val="0"/>
          <w:sz w:val="20"/>
        </w:rPr>
        <w:t xml:space="preserve">6. </w:t>
      </w:r>
      <w:r>
        <w:rPr>
          <w:b w:val="0"/>
          <w:sz w:val="20"/>
        </w:rPr>
        <w:t>Morning Queue</w:t>
      </w:r>
    </w:p>
    <w:p>
      <w:pPr>
        <w:spacing w:after="80"/>
      </w:pPr>
      <w:r>
        <w:rPr>
          <w:b w:val="0"/>
          <w:sz w:val="20"/>
        </w:rPr>
        <w:t>Secondary demonstrations, available on request: client, vendor, FSBO, and attorney portals; DocuSign; administration and audit; analytics; billing.</w:t>
      </w:r>
    </w:p>
    <w:p>
      <w:pPr>
        <w:spacing w:after="120"/>
      </w:pPr>
    </w:p>
    <w:p>
      <w:pPr>
        <w:pStyle w:val="Heading1"/>
        <w:spacing w:after="120" w:before="360"/>
      </w:pPr>
      <w:r>
        <w:t>7. Release Readiness Criteria (September 12)</w:t>
      </w:r>
    </w:p>
    <w:p>
      <w:pPr>
        <w:spacing w:after="40"/>
        <w:ind w:left="357" w:hanging="255"/>
      </w:pPr>
      <w:r>
        <w:rPr>
          <w:b w:val="0"/>
          <w:sz w:val="20"/>
        </w:rPr>
        <w:t xml:space="preserve">- </w:t>
      </w:r>
      <w:r>
        <w:rPr>
          <w:b w:val="0"/>
          <w:sz w:val="20"/>
        </w:rPr>
        <w:t>Full implemented platform verified on production</w:t>
      </w:r>
    </w:p>
    <w:p>
      <w:pPr>
        <w:spacing w:after="40"/>
        <w:ind w:left="357" w:hanging="255"/>
      </w:pPr>
      <w:r>
        <w:rPr>
          <w:b w:val="0"/>
          <w:sz w:val="20"/>
        </w:rPr>
        <w:t xml:space="preserve">- </w:t>
      </w:r>
      <w:r>
        <w:rPr>
          <w:b w:val="0"/>
          <w:sz w:val="20"/>
        </w:rPr>
        <w:t>Morning Queue enabled, with no unapproved sends during soak</w:t>
      </w:r>
    </w:p>
    <w:p>
      <w:pPr>
        <w:spacing w:after="40"/>
        <w:ind w:left="357" w:hanging="255"/>
      </w:pPr>
      <w:r>
        <w:rPr>
          <w:b w:val="0"/>
          <w:sz w:val="20"/>
        </w:rPr>
        <w:t xml:space="preserve">- </w:t>
      </w:r>
      <w:r>
        <w:rPr>
          <w:b w:val="0"/>
          <w:sz w:val="20"/>
        </w:rPr>
        <w:t>Founding price live and consistent across application and marketing</w:t>
      </w:r>
    </w:p>
    <w:p>
      <w:pPr>
        <w:spacing w:after="40"/>
        <w:ind w:left="357" w:hanging="255"/>
      </w:pPr>
      <w:r>
        <w:rPr>
          <w:b w:val="0"/>
          <w:sz w:val="20"/>
        </w:rPr>
        <w:t xml:space="preserve">- </w:t>
      </w:r>
      <w:r>
        <w:rPr>
          <w:b w:val="0"/>
          <w:sz w:val="20"/>
        </w:rPr>
        <w:t>Flat-fee billing confirmed active</w:t>
      </w:r>
    </w:p>
    <w:p>
      <w:pPr>
        <w:spacing w:after="40"/>
        <w:ind w:left="357" w:hanging="255"/>
      </w:pPr>
      <w:r>
        <w:rPr>
          <w:b w:val="0"/>
          <w:sz w:val="20"/>
        </w:rPr>
        <w:t xml:space="preserve">- </w:t>
      </w:r>
      <w:r>
        <w:rPr>
          <w:b w:val="0"/>
          <w:sz w:val="20"/>
        </w:rPr>
        <w:t>Help centre article set loaded</w:t>
      </w:r>
    </w:p>
    <w:p>
      <w:pPr>
        <w:spacing w:after="40"/>
        <w:ind w:left="357" w:hanging="255"/>
      </w:pPr>
      <w:r>
        <w:rPr>
          <w:b w:val="0"/>
          <w:sz w:val="20"/>
        </w:rPr>
        <w:t xml:space="preserve">- </w:t>
      </w:r>
      <w:r>
        <w:rPr>
          <w:b w:val="0"/>
          <w:sz w:val="20"/>
        </w:rPr>
        <w:t>Marketing and presentation materials reconciled with Sections 4.1 and 4.3</w:t>
      </w:r>
    </w:p>
    <w:p>
      <w:pPr>
        <w:spacing w:after="40"/>
        <w:ind w:left="357" w:hanging="255"/>
      </w:pPr>
      <w:r>
        <w:rPr>
          <w:b w:val="0"/>
          <w:sz w:val="20"/>
        </w:rPr>
        <w:t xml:space="preserve">- </w:t>
      </w:r>
      <w:r>
        <w:rPr>
          <w:b w:val="0"/>
          <w:sz w:val="20"/>
        </w:rPr>
        <w:t>DocuSign connected and verified, or formally excluded from the demonstration</w:t>
      </w:r>
    </w:p>
    <w:p>
      <w:pPr>
        <w:spacing w:after="40"/>
        <w:ind w:left="357" w:hanging="255"/>
      </w:pPr>
      <w:r>
        <w:rPr>
          <w:b w:val="0"/>
          <w:sz w:val="20"/>
        </w:rPr>
        <w:t xml:space="preserve">- </w:t>
      </w:r>
      <w:r>
        <w:rPr>
          <w:b w:val="0"/>
          <w:sz w:val="20"/>
        </w:rPr>
        <w:t>Demonstration account restorable within fifteen minutes</w:t>
      </w:r>
    </w:p>
    <w:p>
      <w:pPr>
        <w:spacing w:after="40"/>
        <w:ind w:left="357" w:hanging="255"/>
      </w:pPr>
      <w:r>
        <w:rPr>
          <w:b w:val="0"/>
          <w:sz w:val="20"/>
        </w:rPr>
        <w:t xml:space="preserve">- </w:t>
      </w:r>
      <w:r>
        <w:rPr>
          <w:b w:val="0"/>
          <w:sz w:val="20"/>
        </w:rPr>
        <w:t>Portal and attorney demonstration accounts prepared</w:t>
      </w:r>
    </w:p>
    <w:p>
      <w:pPr>
        <w:spacing w:after="40"/>
        <w:ind w:left="357" w:hanging="255"/>
      </w:pPr>
      <w:r>
        <w:rPr>
          <w:b w:val="0"/>
          <w:sz w:val="20"/>
        </w:rPr>
        <w:t xml:space="preserve">- </w:t>
      </w:r>
      <w:r>
        <w:rPr>
          <w:b w:val="0"/>
          <w:sz w:val="20"/>
        </w:rPr>
        <w:t>Primary and secondary demonstration paths rehearsed</w:t>
      </w:r>
    </w:p>
    <w:p>
      <w:pPr>
        <w:spacing w:after="80"/>
      </w:pPr>
      <w:r>
        <w:rPr>
          <w:b w:val="0"/>
          <w:sz w:val="20"/>
        </w:rPr>
        <w:t>Any unmet criterion results in reduced claims rather than a change to the lock date.</w:t>
      </w:r>
    </w:p>
    <w:p>
      <w:pPr>
        <w:spacing w:after="120"/>
      </w:pPr>
    </w:p>
    <w:p>
      <w:pPr>
        <w:pStyle w:val="Heading1"/>
        <w:spacing w:after="120" w:before="360"/>
      </w:pPr>
      <w:r>
        <w:t>8. Decisions Required by August 18</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t>
            </w:r>
          </w:p>
        </w:tc>
        <w:tc>
          <w:tcPr>
            <w:tcW w:type="dxa" w:w="3120"/>
            <w:shd w:val="clear" w:color="auto" w:fill="D9E2F3"/>
          </w:tcPr>
          <w:p>
            <w:pPr>
              <w:spacing w:after="0"/>
            </w:pPr>
            <w:r/>
            <w:r>
              <w:rPr>
                <w:b/>
                <w:sz w:val="20"/>
              </w:rPr>
              <w:t>Decision</w:t>
            </w:r>
          </w:p>
        </w:tc>
        <w:tc>
          <w:tcPr>
            <w:tcW w:type="dxa" w:w="3120"/>
            <w:shd w:val="clear" w:color="auto" w:fill="D9E2F3"/>
          </w:tcPr>
          <w:p>
            <w:pPr>
              <w:spacing w:after="0"/>
            </w:pPr>
            <w:r/>
            <w:r>
              <w:rPr>
                <w:b/>
                <w:sz w:val="20"/>
              </w:rPr>
              <w:t>Recommendation</w:t>
            </w:r>
          </w:p>
        </w:tc>
      </w:tr>
      <w:tr>
        <w:tc>
          <w:tcPr>
            <w:tcW w:type="dxa" w:w="3120"/>
          </w:tcPr>
          <w:p>
            <w:pPr>
              <w:spacing w:after="0"/>
            </w:pPr>
            <w:r/>
            <w:r>
              <w:rPr>
                <w:b w:val="0"/>
                <w:sz w:val="20"/>
              </w:rPr>
              <w:t>1</w:t>
            </w:r>
          </w:p>
        </w:tc>
        <w:tc>
          <w:tcPr>
            <w:tcW w:type="dxa" w:w="3120"/>
          </w:tcPr>
          <w:p>
            <w:pPr>
              <w:spacing w:after="0"/>
            </w:pPr>
            <w:r/>
            <w:r>
              <w:rPr>
                <w:b w:val="0"/>
                <w:sz w:val="20"/>
              </w:rPr>
              <w:t>Founding price per transaction</w:t>
            </w:r>
          </w:p>
        </w:tc>
        <w:tc>
          <w:tcPr>
            <w:tcW w:type="dxa" w:w="3120"/>
          </w:tcPr>
          <w:p>
            <w:pPr>
              <w:spacing w:after="0"/>
            </w:pPr>
            <w:r/>
            <w:r>
              <w:rPr>
                <w:b w:val="0"/>
                <w:sz w:val="20"/>
              </w:rPr>
              <w:t>$29.00, first transaction free (analysis floor: $25.00; current setting: $50.00)</w:t>
            </w:r>
          </w:p>
        </w:tc>
      </w:tr>
      <w:tr>
        <w:tc>
          <w:tcPr>
            <w:tcW w:type="dxa" w:w="3120"/>
          </w:tcPr>
          <w:p>
            <w:pPr>
              <w:spacing w:after="0"/>
            </w:pPr>
            <w:r/>
            <w:r>
              <w:rPr>
                <w:b w:val="0"/>
                <w:sz w:val="20"/>
              </w:rPr>
              <w:t>2</w:t>
            </w:r>
          </w:p>
        </w:tc>
        <w:tc>
          <w:tcPr>
            <w:tcW w:type="dxa" w:w="3120"/>
          </w:tcPr>
          <w:p>
            <w:pPr>
              <w:spacing w:after="0"/>
            </w:pPr>
            <w:r/>
            <w:r>
              <w:rPr>
                <w:b w:val="0"/>
                <w:sz w:val="20"/>
              </w:rPr>
              <w:t>Release scope</w:t>
            </w:r>
          </w:p>
        </w:tc>
        <w:tc>
          <w:tcPr>
            <w:tcW w:type="dxa" w:w="3120"/>
          </w:tcPr>
          <w:p>
            <w:pPr>
              <w:spacing w:after="0"/>
            </w:pPr>
            <w:r/>
            <w:r>
              <w:rPr>
                <w:b w:val="0"/>
                <w:sz w:val="20"/>
              </w:rPr>
              <w:t>Approve full platform release per Section 4.1</w:t>
            </w:r>
          </w:p>
        </w:tc>
      </w:tr>
      <w:tr>
        <w:tc>
          <w:tcPr>
            <w:tcW w:type="dxa" w:w="3120"/>
          </w:tcPr>
          <w:p>
            <w:pPr>
              <w:spacing w:after="0"/>
            </w:pPr>
            <w:r/>
            <w:r>
              <w:rPr>
                <w:b w:val="0"/>
                <w:sz w:val="20"/>
              </w:rPr>
              <w:t>3</w:t>
            </w:r>
          </w:p>
        </w:tc>
        <w:tc>
          <w:tcPr>
            <w:tcW w:type="dxa" w:w="3120"/>
          </w:tcPr>
          <w:p>
            <w:pPr>
              <w:spacing w:after="0"/>
            </w:pPr>
            <w:r/>
            <w:r>
              <w:rPr>
                <w:b w:val="0"/>
                <w:sz w:val="20"/>
              </w:rPr>
              <w:t>Claim exclusions</w:t>
            </w:r>
          </w:p>
        </w:tc>
        <w:tc>
          <w:tcPr>
            <w:tcW w:type="dxa" w:w="3120"/>
          </w:tcPr>
          <w:p>
            <w:pPr>
              <w:spacing w:after="0"/>
            </w:pPr>
            <w:r/>
            <w:r>
              <w:rPr>
                <w:b w:val="0"/>
                <w:sz w:val="20"/>
              </w:rPr>
              <w:t>Approve Section 4.3, including SMS, Follow Up Boss, and AI Coach</w:t>
            </w:r>
          </w:p>
        </w:tc>
      </w:tr>
      <w:tr>
        <w:tc>
          <w:tcPr>
            <w:tcW w:type="dxa" w:w="3120"/>
          </w:tcPr>
          <w:p>
            <w:pPr>
              <w:spacing w:after="0"/>
            </w:pPr>
            <w:r/>
            <w:r>
              <w:rPr>
                <w:b w:val="0"/>
                <w:sz w:val="20"/>
              </w:rPr>
              <w:t>4</w:t>
            </w:r>
          </w:p>
        </w:tc>
        <w:tc>
          <w:tcPr>
            <w:tcW w:type="dxa" w:w="3120"/>
          </w:tcPr>
          <w:p>
            <w:pPr>
              <w:spacing w:after="0"/>
            </w:pPr>
            <w:r/>
            <w:r>
              <w:rPr>
                <w:b w:val="0"/>
                <w:sz w:val="20"/>
              </w:rPr>
              <w:t>DocuSign in the live demonstration</w:t>
            </w:r>
          </w:p>
        </w:tc>
        <w:tc>
          <w:tcPr>
            <w:tcW w:type="dxa" w:w="3120"/>
          </w:tcPr>
          <w:p>
            <w:pPr>
              <w:spacing w:after="0"/>
            </w:pPr>
            <w:r/>
            <w:r>
              <w:rPr>
                <w:b w:val="0"/>
                <w:sz w:val="20"/>
              </w:rPr>
              <w:t>Include, subject to account provision by August 30</w:t>
            </w:r>
          </w:p>
        </w:tc>
      </w:tr>
      <w:tr>
        <w:tc>
          <w:tcPr>
            <w:tcW w:type="dxa" w:w="3120"/>
          </w:tcPr>
          <w:p>
            <w:pPr>
              <w:spacing w:after="0"/>
            </w:pPr>
            <w:r/>
            <w:r>
              <w:rPr>
                <w:b w:val="0"/>
                <w:sz w:val="20"/>
              </w:rPr>
              <w:t>5</w:t>
            </w:r>
          </w:p>
        </w:tc>
        <w:tc>
          <w:tcPr>
            <w:tcW w:type="dxa" w:w="3120"/>
          </w:tcPr>
          <w:p>
            <w:pPr>
              <w:spacing w:after="0"/>
            </w:pPr>
            <w:r/>
            <w:r>
              <w:rPr>
                <w:b w:val="0"/>
                <w:sz w:val="20"/>
              </w:rPr>
              <w:t>Commission payouts</w:t>
            </w:r>
          </w:p>
        </w:tc>
        <w:tc>
          <w:tcPr>
            <w:tcW w:type="dxa" w:w="3120"/>
          </w:tcPr>
          <w:p>
            <w:pPr>
              <w:spacing w:after="0"/>
            </w:pPr>
            <w:r/>
            <w:r>
              <w:rPr>
                <w:b w:val="0"/>
                <w:sz w:val="20"/>
              </w:rPr>
              <w:t>Remain parked until after the conference</w:t>
            </w:r>
          </w:p>
        </w:tc>
      </w:tr>
    </w:tbl>
    <w:p/>
    <w:p>
      <w:pPr>
        <w:spacing w:after="120"/>
      </w:pPr>
    </w:p>
    <w:p>
      <w:pPr>
        <w:pStyle w:val="Heading1"/>
        <w:spacing w:after="120" w:before="360"/>
      </w:pPr>
      <w:r>
        <w:t>9. Post-Conference Roadmap</w:t>
      </w:r>
    </w:p>
    <w:p>
      <w:pPr>
        <w:spacing w:after="80"/>
      </w:pPr>
      <w:r>
        <w:rPr>
          <w:b w:val="0"/>
          <w:sz w:val="20"/>
        </w:rPr>
        <w:t>Sequenced according to conference feedback:</w:t>
      </w:r>
    </w:p>
    <w:p>
      <w:pPr>
        <w:spacing w:after="40"/>
        <w:ind w:left="357" w:hanging="255"/>
      </w:pPr>
      <w:r>
        <w:rPr>
          <w:b w:val="0"/>
          <w:sz w:val="20"/>
        </w:rPr>
        <w:t xml:space="preserve">1. </w:t>
      </w:r>
      <w:r>
        <w:rPr>
          <w:b w:val="0"/>
          <w:sz w:val="20"/>
        </w:rPr>
        <w:t>SMS channel</w:t>
      </w:r>
    </w:p>
    <w:p>
      <w:pPr>
        <w:spacing w:after="40"/>
        <w:ind w:left="357" w:hanging="255"/>
      </w:pPr>
      <w:r>
        <w:rPr>
          <w:b w:val="0"/>
          <w:sz w:val="20"/>
        </w:rPr>
        <w:t xml:space="preserve">2. </w:t>
      </w:r>
      <w:r>
        <w:rPr>
          <w:b w:val="0"/>
          <w:sz w:val="20"/>
        </w:rPr>
        <w:t>Native Follow Up Boss integration</w:t>
      </w:r>
    </w:p>
    <w:p>
      <w:pPr>
        <w:spacing w:after="40"/>
        <w:ind w:left="357" w:hanging="255"/>
      </w:pPr>
      <w:r>
        <w:rPr>
          <w:b w:val="0"/>
          <w:sz w:val="20"/>
        </w:rPr>
        <w:t xml:space="preserve">3. </w:t>
      </w:r>
      <w:r>
        <w:rPr>
          <w:b w:val="0"/>
          <w:sz w:val="20"/>
        </w:rPr>
        <w:t>Extended autonomous automation, retaining human approval as the default</w:t>
      </w:r>
    </w:p>
    <w:p>
      <w:pPr>
        <w:spacing w:after="40"/>
        <w:ind w:left="357" w:hanging="255"/>
      </w:pPr>
      <w:r>
        <w:rPr>
          <w:b w:val="0"/>
          <w:sz w:val="20"/>
        </w:rPr>
        <w:t xml:space="preserve">4. </w:t>
      </w:r>
      <w:r>
        <w:rPr>
          <w:b w:val="0"/>
          <w:sz w:val="20"/>
        </w:rPr>
        <w:t>Commission payouts and AI Coach, if commercialisation is approved</w:t>
      </w:r>
    </w:p>
    <w:p>
      <w:pPr>
        <w:spacing w:after="120"/>
      </w:pPr>
    </w:p>
    <w:p>
      <w:pPr>
        <w:pStyle w:val="Heading1"/>
        <w:spacing w:after="120" w:before="360"/>
      </w:pPr>
      <w:r>
        <w:t>10. Risks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Risk</w:t>
            </w:r>
          </w:p>
        </w:tc>
        <w:tc>
          <w:tcPr>
            <w:tcW w:type="dxa" w:w="4680"/>
            <w:shd w:val="clear" w:color="auto" w:fill="D9E2F3"/>
          </w:tcPr>
          <w:p>
            <w:pPr>
              <w:spacing w:after="0"/>
            </w:pPr>
            <w:r/>
            <w:r>
              <w:rPr>
                <w:b/>
                <w:sz w:val="20"/>
              </w:rPr>
              <w:t>Mitigation</w:t>
            </w:r>
          </w:p>
        </w:tc>
      </w:tr>
      <w:tr>
        <w:tc>
          <w:tcPr>
            <w:tcW w:type="dxa" w:w="4680"/>
          </w:tcPr>
          <w:p>
            <w:pPr>
              <w:spacing w:after="0"/>
            </w:pPr>
            <w:r/>
            <w:r>
              <w:rPr>
                <w:b w:val="0"/>
                <w:sz w:val="20"/>
              </w:rPr>
              <w:t>Scope expansion into SMS or CRM integrations under competitive pressure</w:t>
            </w:r>
          </w:p>
        </w:tc>
        <w:tc>
          <w:tcPr>
            <w:tcW w:type="dxa" w:w="4680"/>
          </w:tcPr>
          <w:p>
            <w:pPr>
              <w:spacing w:after="0"/>
            </w:pPr>
            <w:r/>
            <w:r>
              <w:rPr>
                <w:b w:val="0"/>
                <w:sz w:val="20"/>
              </w:rPr>
              <w:t>Section 4.3 approved in writing; feature freeze from September 5</w:t>
            </w:r>
          </w:p>
        </w:tc>
      </w:tr>
      <w:tr>
        <w:tc>
          <w:tcPr>
            <w:tcW w:type="dxa" w:w="4680"/>
          </w:tcPr>
          <w:p>
            <w:pPr>
              <w:spacing w:after="0"/>
            </w:pPr>
            <w:r/>
            <w:r>
              <w:rPr>
                <w:b w:val="0"/>
                <w:sz w:val="20"/>
              </w:rPr>
              <w:t>Morning Queue sending without approval</w:t>
            </w:r>
          </w:p>
        </w:tc>
        <w:tc>
          <w:tcPr>
            <w:tcW w:type="dxa" w:w="4680"/>
          </w:tcPr>
          <w:p>
            <w:pPr>
              <w:spacing w:after="0"/>
            </w:pPr>
            <w:r/>
            <w:r>
              <w:rPr>
                <w:b w:val="0"/>
                <w:sz w:val="20"/>
              </w:rPr>
              <w:t>Staging soak, policy gating, review-first default</w:t>
            </w:r>
          </w:p>
        </w:tc>
      </w:tr>
      <w:tr>
        <w:tc>
          <w:tcPr>
            <w:tcW w:type="dxa" w:w="4680"/>
          </w:tcPr>
          <w:p>
            <w:pPr>
              <w:spacing w:after="0"/>
            </w:pPr>
            <w:r/>
            <w:r>
              <w:rPr>
                <w:b w:val="0"/>
                <w:sz w:val="20"/>
              </w:rPr>
              <w:t>DocuSign account unavailable in time</w:t>
            </w:r>
          </w:p>
        </w:tc>
        <w:tc>
          <w:tcPr>
            <w:tcW w:type="dxa" w:w="4680"/>
          </w:tcPr>
          <w:p>
            <w:pPr>
              <w:spacing w:after="0"/>
            </w:pPr>
            <w:r/>
            <w:r>
              <w:rPr>
                <w:b w:val="0"/>
                <w:sz w:val="20"/>
              </w:rPr>
              <w:t>Decision point September 1; exclude from demonstration if unresolved</w:t>
            </w:r>
          </w:p>
        </w:tc>
      </w:tr>
      <w:tr>
        <w:tc>
          <w:tcPr>
            <w:tcW w:type="dxa" w:w="4680"/>
          </w:tcPr>
          <w:p>
            <w:pPr>
              <w:spacing w:after="0"/>
            </w:pPr>
            <w:r/>
            <w:r>
              <w:rPr>
                <w:b w:val="0"/>
                <w:sz w:val="20"/>
              </w:rPr>
              <w:t>Price comparison against a $14.99 headline</w:t>
            </w:r>
          </w:p>
        </w:tc>
        <w:tc>
          <w:tcPr>
            <w:tcW w:type="dxa" w:w="4680"/>
          </w:tcPr>
          <w:p>
            <w:pPr>
              <w:spacing w:after="0"/>
            </w:pPr>
            <w:r/>
            <w:r>
              <w:rPr>
                <w:b w:val="0"/>
                <w:sz w:val="20"/>
              </w:rPr>
              <w:t>Founding price confirmed early; value framed against full platform scope</w:t>
            </w:r>
          </w:p>
        </w:tc>
      </w:tr>
      <w:tr>
        <w:tc>
          <w:tcPr>
            <w:tcW w:type="dxa" w:w="4680"/>
          </w:tcPr>
          <w:p>
            <w:pPr>
              <w:spacing w:after="0"/>
            </w:pPr>
            <w:r/>
            <w:r>
              <w:rPr>
                <w:b w:val="0"/>
                <w:sz w:val="20"/>
              </w:rPr>
              <w:t>Demonstration data thin or unrepresentative</w:t>
            </w:r>
          </w:p>
        </w:tc>
        <w:tc>
          <w:tcPr>
            <w:tcW w:type="dxa" w:w="4680"/>
          </w:tcPr>
          <w:p>
            <w:pPr>
              <w:spacing w:after="0"/>
            </w:pPr>
            <w:r/>
            <w:r>
              <w:rPr>
                <w:b w:val="0"/>
                <w:sz w:val="20"/>
              </w:rPr>
              <w:t>Seeded account with documented restore procedure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