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TALENTRA</w:t>
      </w:r>
    </w:p>
    <w:p>
      <w:pPr>
        <w:pStyle w:val="Title"/>
        <w:jc w:val="center"/>
      </w:pPr>
      <w:r>
        <w:t>Billing &amp; Licensing Module</w:t>
        <w:br/>
        <w:t>Final Design Specification</w:t>
      </w:r>
    </w:p>
    <w:p>
      <w:pPr>
        <w:jc w:val="center"/>
      </w:pPr>
      <w:r>
        <w:rPr>
          <w:i/>
        </w:rPr>
        <w:t>Phase 3 | PostgreSQL 14+ | Repository-aligned design</w:t>
      </w:r>
    </w:p>
    <w:p>
      <w:pPr>
        <w:jc w:val="center"/>
      </w:pPr>
      <w:r>
        <w:rPr>
          <w:sz w:val="18"/>
        </w:rPr>
        <w:t>Repository: crazyluhsnap/talentra-database-design</w:t>
      </w:r>
    </w:p>
    <w:p>
      <w:r>
        <w:t>Document status: Final design baseline for implementation review. The companion SQL is an integration migration candidate; it must be executed against a disposable copy of the repository database and pass the included tests before being described as deployed or production-verified.</w:t>
      </w:r>
    </w:p>
    <w:p>
      <w:pPr>
        <w:pStyle w:val="Heading1"/>
      </w:pPr>
      <w:r>
        <w:t>1. Purpose and scope</w:t>
      </w:r>
    </w:p>
    <w:p>
      <w:r>
        <w:t>This specification defines the Phase 3 billing, subscription, entitlement, seat/licence, registered-device, invoice, payment, usage, and wallet-ledger data model for Talentra. It is designed to extend the existing Phase 1 foundation and Phase 2 Administration, Organisation, and Gig modules without creating a second user, tenant, or authentication-session system.</w:t>
      </w:r>
    </w:p>
    <w:p>
      <w:pPr>
        <w:pStyle w:val="ListBullet"/>
      </w:pPr>
      <w:r>
        <w:t>Billable tenant boundary: organisation.account.id (one live account per organisation is already enforced by Phase 2).</w:t>
      </w:r>
    </w:p>
    <w:p>
      <w:pPr>
        <w:pStyle w:val="ListBullet"/>
      </w:pPr>
      <w:r>
        <w:t>Canonical user identity: administration.user_account.id.</w:t>
      </w:r>
    </w:p>
    <w:p>
      <w:pPr>
        <w:pStyle w:val="ListBullet"/>
      </w:pPr>
      <w:r>
        <w:t>Authentication session owner: administration.identity_session; licensing stores device registrations and policy links, not a competing session table.</w:t>
      </w:r>
    </w:p>
    <w:p>
      <w:pPr>
        <w:pStyle w:val="ListBullet"/>
      </w:pPr>
      <w:r>
        <w:t>Commercial subscription plan and entitlement configuration are versioned so existing subscriptions keep the terms they were sold.</w:t>
      </w:r>
    </w:p>
    <w:p>
      <w:pPr>
        <w:pStyle w:val="ListBullet"/>
      </w:pPr>
      <w:r>
        <w:t>Wallet entries and subscription events are append-only; corrections are represented by compensating entries/events.</w:t>
      </w:r>
    </w:p>
    <w:p>
      <w:pPr>
        <w:pStyle w:val="ListBullet"/>
      </w:pPr>
      <w:r>
        <w:t>Billing provider tokens and card data are never stored in this schema; provider references only.</w:t>
      </w:r>
    </w:p>
    <w:p>
      <w:pPr>
        <w:pStyle w:val="Heading1"/>
      </w:pPr>
      <w:r>
        <w:t>2. Repository compatibility contract</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sz w:val="16"/>
              </w:rPr>
              <w:t>Existing object / convention</w:t>
            </w:r>
          </w:p>
        </w:tc>
        <w:tc>
          <w:tcPr>
            <w:tcW w:type="dxa" w:w="5040"/>
            <w:vAlign w:val="center"/>
          </w:tcPr>
          <w:p>
            <w:r>
              <w:rPr>
                <w:sz w:val="16"/>
              </w:rPr>
              <w:t>Integration rule</w:t>
            </w:r>
          </w:p>
        </w:tc>
      </w:tr>
      <w:tr>
        <w:tc>
          <w:tcPr>
            <w:tcW w:type="dxa" w:w="5040"/>
            <w:vAlign w:val="center"/>
          </w:tcPr>
          <w:p>
            <w:r>
              <w:rPr>
                <w:sz w:val="16"/>
              </w:rPr>
              <w:t>organisation.account(id)</w:t>
            </w:r>
          </w:p>
        </w:tc>
        <w:tc>
          <w:tcPr>
            <w:tcW w:type="dxa" w:w="5040"/>
            <w:vAlign w:val="center"/>
          </w:tcPr>
          <w:p>
            <w:r>
              <w:rPr>
                <w:sz w:val="16"/>
              </w:rPr>
              <w:t>Every customer subscription, invoice and wallet balance is tenant-scoped to the platform account. Do not substitute organisation.organisation.id.</w:t>
            </w:r>
          </w:p>
        </w:tc>
      </w:tr>
      <w:tr>
        <w:tc>
          <w:tcPr>
            <w:tcW w:type="dxa" w:w="5040"/>
            <w:vAlign w:val="center"/>
          </w:tcPr>
          <w:p>
            <w:r>
              <w:rPr>
                <w:sz w:val="16"/>
              </w:rPr>
              <w:t>administration.user_account(id)</w:t>
            </w:r>
          </w:p>
        </w:tc>
        <w:tc>
          <w:tcPr>
            <w:tcW w:type="dxa" w:w="5040"/>
            <w:vAlign w:val="center"/>
          </w:tcPr>
          <w:p>
            <w:r>
              <w:rPr>
                <w:sz w:val="16"/>
              </w:rPr>
              <w:t>Use for assigned users, administrators/actors and audit attribution.</w:t>
            </w:r>
          </w:p>
        </w:tc>
      </w:tr>
      <w:tr>
        <w:tc>
          <w:tcPr>
            <w:tcW w:type="dxa" w:w="5040"/>
            <w:vAlign w:val="center"/>
          </w:tcPr>
          <w:p>
            <w:r>
              <w:rPr>
                <w:sz w:val="16"/>
              </w:rPr>
              <w:t>administration.identity_session(id)</w:t>
            </w:r>
          </w:p>
        </w:tc>
        <w:tc>
          <w:tcPr>
            <w:tcW w:type="dxa" w:w="5040"/>
            <w:vAlign w:val="center"/>
          </w:tcPr>
          <w:p>
            <w:r>
              <w:rPr>
                <w:sz w:val="16"/>
              </w:rPr>
              <w:t>Existing session state remains owned by Administration. Authentication services must join/validate active sessions and check billing.registered_device / licence_assignment before granting licensed access.</w:t>
            </w:r>
          </w:p>
        </w:tc>
      </w:tr>
      <w:tr>
        <w:tc>
          <w:tcPr>
            <w:tcW w:type="dxa" w:w="5040"/>
            <w:vAlign w:val="center"/>
          </w:tcPr>
          <w:p>
            <w:r>
              <w:rPr>
                <w:sz w:val="16"/>
              </w:rPr>
              <w:t>master_data.currency(code)</w:t>
            </w:r>
          </w:p>
        </w:tc>
        <w:tc>
          <w:tcPr>
            <w:tcW w:type="dxa" w:w="5040"/>
            <w:vAlign w:val="center"/>
          </w:tcPr>
          <w:p>
            <w:r>
              <w:rPr>
                <w:sz w:val="16"/>
              </w:rPr>
              <w:t>Use the existing ISO currency catalog; no duplicate currency table.</w:t>
            </w:r>
          </w:p>
        </w:tc>
      </w:tr>
      <w:tr>
        <w:tc>
          <w:tcPr>
            <w:tcW w:type="dxa" w:w="5040"/>
            <w:vAlign w:val="center"/>
          </w:tcPr>
          <w:p>
            <w:r>
              <w:rPr>
                <w:sz w:val="16"/>
              </w:rPr>
              <w:t>billing schema in Phase 3 roadmap</w:t>
            </w:r>
          </w:p>
        </w:tc>
        <w:tc>
          <w:tcPr>
            <w:tcW w:type="dxa" w:w="5040"/>
            <w:vAlign w:val="center"/>
          </w:tcPr>
          <w:p>
            <w:r>
              <w:rPr>
                <w:sz w:val="16"/>
              </w:rPr>
              <w:t>Canonical names retained: subscription_plan, plan_entitlement, account_subscription, wallet_ledger, invoice, invoice_item. Supporting versioning and transaction tables are added under billing.</w:t>
            </w:r>
          </w:p>
        </w:tc>
      </w:tr>
      <w:tr>
        <w:tc>
          <w:tcPr>
            <w:tcW w:type="dxa" w:w="5040"/>
            <w:vAlign w:val="center"/>
          </w:tcPr>
          <w:p>
            <w:r>
              <w:rPr>
                <w:sz w:val="16"/>
              </w:rPr>
              <w:t>sql/setup_all.sql</w:t>
            </w:r>
          </w:p>
        </w:tc>
        <w:tc>
          <w:tcPr>
            <w:tcW w:type="dxa" w:w="5040"/>
            <w:vAlign w:val="center"/>
          </w:tcPr>
          <w:p>
            <w:r>
              <w:rPr>
                <w:sz w:val="16"/>
              </w:rPr>
              <w:t>Existing script deploys Phase 1 then Phase 2 modules. Run it first; run the new Phase 3 migration after it. Do not silently insert this migration into setup_all.sql until migration order and tests are approved.</w:t>
            </w:r>
          </w:p>
        </w:tc>
      </w:tr>
      <w:tr>
        <w:tc>
          <w:tcPr>
            <w:tcW w:type="dxa" w:w="5040"/>
            <w:vAlign w:val="center"/>
          </w:tcPr>
          <w:p>
            <w:r>
              <w:rPr>
                <w:sz w:val="16"/>
              </w:rPr>
              <w:t>PK and FK conventions</w:t>
            </w:r>
          </w:p>
        </w:tc>
        <w:tc>
          <w:tcPr>
            <w:tcW w:type="dxa" w:w="5040"/>
            <w:vAlign w:val="center"/>
          </w:tcPr>
          <w:p>
            <w:r>
              <w:rPr>
                <w:sz w:val="16"/>
              </w:rPr>
              <w:t>bigint identity PKs; explicit named constraints; ON UPDATE RESTRICT / ON DELETE RESTRICT; timestamps are timestamptz.</w:t>
            </w:r>
          </w:p>
        </w:tc>
      </w:tr>
    </w:tbl>
    <w:p>
      <w:pPr>
        <w:pStyle w:val="Heading1"/>
      </w:pPr>
      <w:r>
        <w:t>3. Entity model</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sz w:val="16"/>
              </w:rPr>
              <w:t>Entity</w:t>
            </w:r>
          </w:p>
        </w:tc>
        <w:tc>
          <w:tcPr>
            <w:tcW w:type="dxa" w:w="5040"/>
            <w:vAlign w:val="center"/>
          </w:tcPr>
          <w:p>
            <w:r>
              <w:rPr>
                <w:sz w:val="16"/>
              </w:rPr>
              <w:t>Purpose / key relationship</w:t>
            </w:r>
          </w:p>
        </w:tc>
      </w:tr>
      <w:tr>
        <w:tc>
          <w:tcPr>
            <w:tcW w:type="dxa" w:w="5040"/>
            <w:vAlign w:val="center"/>
          </w:tcPr>
          <w:p>
            <w:r>
              <w:rPr>
                <w:sz w:val="16"/>
              </w:rPr>
              <w:t>subscription_plan</w:t>
            </w:r>
          </w:p>
        </w:tc>
        <w:tc>
          <w:tcPr>
            <w:tcW w:type="dxa" w:w="5040"/>
            <w:vAlign w:val="center"/>
          </w:tcPr>
          <w:p>
            <w:r>
              <w:rPr>
                <w:sz w:val="16"/>
              </w:rPr>
              <w:t>Stable commercial product identity; unique plan_code.</w:t>
            </w:r>
          </w:p>
        </w:tc>
      </w:tr>
      <w:tr>
        <w:tc>
          <w:tcPr>
            <w:tcW w:type="dxa" w:w="5040"/>
            <w:vAlign w:val="center"/>
          </w:tcPr>
          <w:p>
            <w:r>
              <w:rPr>
                <w:sz w:val="16"/>
              </w:rPr>
              <w:t>subscription_plan_version</w:t>
            </w:r>
          </w:p>
        </w:tc>
        <w:tc>
          <w:tcPr>
            <w:tcW w:type="dxa" w:w="5040"/>
            <w:vAlign w:val="center"/>
          </w:tcPr>
          <w:p>
            <w:r>
              <w:rPr>
                <w:sz w:val="16"/>
              </w:rPr>
              <w:t>Immutable commercial terms by version, currency, price, interval, trial and effective dates.</w:t>
            </w:r>
          </w:p>
        </w:tc>
      </w:tr>
      <w:tr>
        <w:tc>
          <w:tcPr>
            <w:tcW w:type="dxa" w:w="5040"/>
            <w:vAlign w:val="center"/>
          </w:tcPr>
          <w:p>
            <w:r>
              <w:rPr>
                <w:sz w:val="16"/>
              </w:rPr>
              <w:t>feature</w:t>
            </w:r>
          </w:p>
        </w:tc>
        <w:tc>
          <w:tcPr>
            <w:tcW w:type="dxa" w:w="5040"/>
            <w:vAlign w:val="center"/>
          </w:tcPr>
          <w:p>
            <w:r>
              <w:rPr>
                <w:sz w:val="16"/>
              </w:rPr>
              <w:t>Typed feature/limit dictionary: boolean, integer, numeric or text.</w:t>
            </w:r>
          </w:p>
        </w:tc>
      </w:tr>
      <w:tr>
        <w:tc>
          <w:tcPr>
            <w:tcW w:type="dxa" w:w="5040"/>
            <w:vAlign w:val="center"/>
          </w:tcPr>
          <w:p>
            <w:r>
              <w:rPr>
                <w:sz w:val="16"/>
              </w:rPr>
              <w:t>plan_entitlement</w:t>
            </w:r>
          </w:p>
        </w:tc>
        <w:tc>
          <w:tcPr>
            <w:tcW w:type="dxa" w:w="5040"/>
            <w:vAlign w:val="center"/>
          </w:tcPr>
          <w:p>
            <w:r>
              <w:rPr>
                <w:sz w:val="16"/>
              </w:rPr>
              <w:t>One typed value per feature per plan version; trigger validates value-column type.</w:t>
            </w:r>
          </w:p>
        </w:tc>
      </w:tr>
      <w:tr>
        <w:tc>
          <w:tcPr>
            <w:tcW w:type="dxa" w:w="5040"/>
            <w:vAlign w:val="center"/>
          </w:tcPr>
          <w:p>
            <w:r>
              <w:rPr>
                <w:sz w:val="16"/>
              </w:rPr>
              <w:t>account_subscription</w:t>
            </w:r>
          </w:p>
        </w:tc>
        <w:tc>
          <w:tcPr>
            <w:tcW w:type="dxa" w:w="5040"/>
            <w:vAlign w:val="center"/>
          </w:tcPr>
          <w:p>
            <w:r>
              <w:rPr>
                <w:sz w:val="16"/>
              </w:rPr>
              <w:t>Tenant subscription state referencing organisation.account and a plan version; one live subscription per account by partial unique index.</w:t>
            </w:r>
          </w:p>
        </w:tc>
      </w:tr>
      <w:tr>
        <w:tc>
          <w:tcPr>
            <w:tcW w:type="dxa" w:w="5040"/>
            <w:vAlign w:val="center"/>
          </w:tcPr>
          <w:p>
            <w:r>
              <w:rPr>
                <w:sz w:val="16"/>
              </w:rPr>
              <w:t>subscription_period</w:t>
            </w:r>
          </w:p>
        </w:tc>
        <w:tc>
          <w:tcPr>
            <w:tcW w:type="dxa" w:w="5040"/>
            <w:vAlign w:val="center"/>
          </w:tcPr>
          <w:p>
            <w:r>
              <w:rPr>
                <w:sz w:val="16"/>
              </w:rPr>
              <w:t>Period history for renewal/invoicing; period_end must be later than period_start.</w:t>
            </w:r>
          </w:p>
        </w:tc>
      </w:tr>
      <w:tr>
        <w:tc>
          <w:tcPr>
            <w:tcW w:type="dxa" w:w="5040"/>
            <w:vAlign w:val="center"/>
          </w:tcPr>
          <w:p>
            <w:r>
              <w:rPr>
                <w:sz w:val="16"/>
              </w:rPr>
              <w:t>licence_assignment</w:t>
            </w:r>
          </w:p>
        </w:tc>
        <w:tc>
          <w:tcPr>
            <w:tcW w:type="dxa" w:w="5040"/>
            <w:vAlign w:val="center"/>
          </w:tcPr>
          <w:p>
            <w:r>
              <w:rPr>
                <w:sz w:val="16"/>
              </w:rPr>
              <w:t>User seat assignment for a subscription, with revocation evidence and one active assignment per user/subscription.</w:t>
            </w:r>
          </w:p>
        </w:tc>
      </w:tr>
      <w:tr>
        <w:tc>
          <w:tcPr>
            <w:tcW w:type="dxa" w:w="5040"/>
            <w:vAlign w:val="center"/>
          </w:tcPr>
          <w:p>
            <w:r>
              <w:rPr>
                <w:sz w:val="16"/>
              </w:rPr>
              <w:t>registered_device</w:t>
            </w:r>
          </w:p>
        </w:tc>
        <w:tc>
          <w:tcPr>
            <w:tcW w:type="dxa" w:w="5040"/>
            <w:vAlign w:val="center"/>
          </w:tcPr>
          <w:p>
            <w:r>
              <w:rPr>
                <w:sz w:val="16"/>
              </w:rPr>
              <w:t>SHA-256 device identifier hash associated with an assignment and the same subscription; no raw device fingerprint.</w:t>
            </w:r>
          </w:p>
        </w:tc>
      </w:tr>
      <w:tr>
        <w:tc>
          <w:tcPr>
            <w:tcW w:type="dxa" w:w="5040"/>
            <w:vAlign w:val="center"/>
          </w:tcPr>
          <w:p>
            <w:r>
              <w:rPr>
                <w:sz w:val="16"/>
              </w:rPr>
              <w:t>usage_snapshot</w:t>
            </w:r>
          </w:p>
        </w:tc>
        <w:tc>
          <w:tcPr>
            <w:tcW w:type="dxa" w:w="5040"/>
            <w:vAlign w:val="center"/>
          </w:tcPr>
          <w:p>
            <w:r>
              <w:rPr>
                <w:sz w:val="16"/>
              </w:rPr>
              <w:t>Feature usage measurement by subscription and time window, idempotent by unique window key.</w:t>
            </w:r>
          </w:p>
        </w:tc>
      </w:tr>
      <w:tr>
        <w:tc>
          <w:tcPr>
            <w:tcW w:type="dxa" w:w="5040"/>
            <w:vAlign w:val="center"/>
          </w:tcPr>
          <w:p>
            <w:r>
              <w:rPr>
                <w:sz w:val="16"/>
              </w:rPr>
              <w:t>invoice / invoice_item</w:t>
            </w:r>
          </w:p>
        </w:tc>
        <w:tc>
          <w:tcPr>
            <w:tcW w:type="dxa" w:w="5040"/>
            <w:vAlign w:val="center"/>
          </w:tcPr>
          <w:p>
            <w:r>
              <w:rPr>
                <w:sz w:val="16"/>
              </w:rPr>
              <w:t>Tenant invoice header and line-level pricing; total arithmetic and line arithmetic constrained.</w:t>
            </w:r>
          </w:p>
        </w:tc>
      </w:tr>
      <w:tr>
        <w:tc>
          <w:tcPr>
            <w:tcW w:type="dxa" w:w="5040"/>
            <w:vAlign w:val="center"/>
          </w:tcPr>
          <w:p>
            <w:r>
              <w:rPr>
                <w:sz w:val="16"/>
              </w:rPr>
              <w:t>payment_transaction</w:t>
            </w:r>
          </w:p>
        </w:tc>
        <w:tc>
          <w:tcPr>
            <w:tcW w:type="dxa" w:w="5040"/>
            <w:vAlign w:val="center"/>
          </w:tcPr>
          <w:p>
            <w:r>
              <w:rPr>
                <w:sz w:val="16"/>
              </w:rPr>
              <w:t>Provider transaction attempts and idempotency references; no card or secret payload.</w:t>
            </w:r>
          </w:p>
        </w:tc>
      </w:tr>
      <w:tr>
        <w:tc>
          <w:tcPr>
            <w:tcW w:type="dxa" w:w="5040"/>
            <w:vAlign w:val="center"/>
          </w:tcPr>
          <w:p>
            <w:r>
              <w:rPr>
                <w:sz w:val="16"/>
              </w:rPr>
              <w:t>wallet_ledger</w:t>
            </w:r>
          </w:p>
        </w:tc>
        <w:tc>
          <w:tcPr>
            <w:tcW w:type="dxa" w:w="5040"/>
            <w:vAlign w:val="center"/>
          </w:tcPr>
          <w:p>
            <w:r>
              <w:rPr>
                <w:sz w:val="16"/>
              </w:rPr>
              <w:t>Tenant credit ledger with idempotency; append-only and corrections by compensating entry.</w:t>
            </w:r>
          </w:p>
        </w:tc>
      </w:tr>
      <w:tr>
        <w:tc>
          <w:tcPr>
            <w:tcW w:type="dxa" w:w="5040"/>
            <w:vAlign w:val="center"/>
          </w:tcPr>
          <w:p>
            <w:r>
              <w:rPr>
                <w:sz w:val="16"/>
              </w:rPr>
              <w:t>subscription_event</w:t>
            </w:r>
          </w:p>
        </w:tc>
        <w:tc>
          <w:tcPr>
            <w:tcW w:type="dxa" w:w="5040"/>
            <w:vAlign w:val="center"/>
          </w:tcPr>
          <w:p>
            <w:r>
              <w:rPr>
                <w:sz w:val="16"/>
              </w:rPr>
              <w:t>Append-only lifecycle event stream for subscription changes.</w:t>
            </w:r>
          </w:p>
        </w:tc>
      </w:tr>
    </w:tbl>
    <w:p>
      <w:pPr>
        <w:pStyle w:val="Heading1"/>
      </w:pPr>
      <w:r>
        <w:t>4. Relationship summary</w:t>
      </w:r>
    </w:p>
    <w:p>
      <w:pPr>
        <w:pStyle w:val="ListBullet"/>
      </w:pPr>
      <w:r>
        <w:t>subscription_plan 1:N subscription_plan_version.</w:t>
      </w:r>
    </w:p>
    <w:p>
      <w:pPr>
        <w:pStyle w:val="ListBullet"/>
      </w:pPr>
      <w:r>
        <w:t>subscription_plan_version M:N feature through plan_entitlement.</w:t>
      </w:r>
    </w:p>
    <w:p>
      <w:pPr>
        <w:pStyle w:val="ListBullet"/>
      </w:pPr>
      <w:r>
        <w:t>organisation.account 1:N account_subscription over time; at most one live subscription in trialing/active/past_due/paused state.</w:t>
      </w:r>
    </w:p>
    <w:p>
      <w:pPr>
        <w:pStyle w:val="ListBullet"/>
      </w:pPr>
      <w:r>
        <w:t>account_subscription 1:N subscription_period, licence_assignment, usage_snapshot, subscription_event.</w:t>
      </w:r>
    </w:p>
    <w:p>
      <w:pPr>
        <w:pStyle w:val="ListBullet"/>
      </w:pPr>
      <w:r>
        <w:t>licence_assignment 1:N registered_device; device and assignment must point to the same subscription.</w:t>
      </w:r>
    </w:p>
    <w:p>
      <w:pPr>
        <w:pStyle w:val="ListBullet"/>
      </w:pPr>
      <w:r>
        <w:t>organisation.account 1:N invoice and wallet_ledger; invoice 1:N invoice_item and payment_transaction.</w:t>
      </w:r>
    </w:p>
    <w:p>
      <w:pPr>
        <w:pStyle w:val="ListBullet"/>
      </w:pPr>
      <w:r>
        <w:t>administration.user_account is referenced for assigned users and actor attribution; administration.identity_session remains the authentication session source of truth.</w:t>
      </w:r>
    </w:p>
    <w:p>
      <w:pPr>
        <w:pStyle w:val="Heading1"/>
      </w:pPr>
      <w:r>
        <w:t>5. Licence enforcement contract</w:t>
      </w:r>
    </w:p>
    <w:p>
      <w:pPr>
        <w:pStyle w:val="Heading2"/>
      </w:pPr>
      <w:r>
        <w:t>5.1 Seat limits</w:t>
      </w:r>
    </w:p>
    <w:p>
      <w:r>
        <w:t>A plan version should carry typed entitlements such as seat_limit (integer), devices_per_user_limit (integer), and feature flags. On seat assignment, the application must begin a transaction, lock the account_subscription row FOR UPDATE, validate subscription status and current time window, read the plan version entitlement, count active licence_assignment rows, and reject if the limit would be exceeded. The unique partial index prevents duplicate active assignment for the same user but does not by itself enforce a numeric seat cap.</w:t>
      </w:r>
    </w:p>
    <w:p>
      <w:pPr>
        <w:pStyle w:val="Heading2"/>
      </w:pPr>
      <w:r>
        <w:t>5.2 Device limits and login</w:t>
      </w:r>
    </w:p>
    <w:p>
      <w:r>
        <w:t>At login, the application validates administration.identity_session, the subscription state and period, the user's active licence_assignment, and the device hash. Device registration must lock the assignment row FOR UPDATE, count active registered_device rows, and compare against devices_per_user_limit. Database constraints validate ownership shape and hash length; the transaction service enforces the plan-specific numeric cap under lock.</w:t>
      </w:r>
    </w:p>
    <w:p>
      <w:pPr>
        <w:pStyle w:val="Heading2"/>
      </w:pPr>
      <w:r>
        <w:t>5.3 Revocation</w:t>
      </w:r>
    </w:p>
    <w:p>
      <w:r>
        <w:t>Revoking a licence assignment or device requires actor, timestamp and reason. Authentication middleware must reject future requests when the associated licence or device is revoked, even if the Administration session has not expired. If policy requires immediate logout, revoke matching administration.identity_session rows in the same service workflow using device_identifier_hash; do not make billing own session lifecycle.</w:t>
      </w:r>
    </w:p>
    <w:p>
      <w:pPr>
        <w:pStyle w:val="Heading2"/>
      </w:pPr>
      <w:r>
        <w:t>5.4 Entitlements and metering</w:t>
      </w:r>
    </w:p>
    <w:p>
      <w:r>
        <w:t>Entitlement values are typed and versioned. Entitlement edits to a plan version already sold should be prohibited operationally; create a new plan version instead. usage_snapshot is a measured fact, not the authoritative wallet ledger.</w:t>
      </w:r>
    </w:p>
    <w:p>
      <w:pPr>
        <w:pStyle w:val="Heading2"/>
      </w:pPr>
      <w:r>
        <w:t>5.5 Concurrency</w:t>
      </w:r>
    </w:p>
    <w:p>
      <w:r>
        <w:t>All quota checks that depend on counts must use a row lock on the stable parent (account_subscription for seats; licence_assignment for devices) and perform check-plus-insert in the same transaction. Application retries must use idempotency keys. Do not rely on an unlocked COUNT(*) followed by INSERT.</w:t>
      </w:r>
    </w:p>
    <w:p>
      <w:pPr>
        <w:pStyle w:val="Heading1"/>
      </w:pPr>
      <w:r>
        <w:t>6. Billing and wallet rules</w:t>
      </w:r>
    </w:p>
    <w:p>
      <w:pPr>
        <w:pStyle w:val="ListBullet"/>
      </w:pPr>
      <w:r>
        <w:t>Amounts use numeric(12,2); quantities use numeric with fixed scale. Tax calculation/rounding is computed by the billing service and persisted as a snapshot on invoice.</w:t>
      </w:r>
    </w:p>
    <w:p>
      <w:pPr>
        <w:pStyle w:val="ListBullet"/>
      </w:pPr>
      <w:r>
        <w:t>invoice.total_amount must equal subtotal_amount + tax_amount. Invoice items have deterministic line numbers and validated line arithmetic.</w:t>
      </w:r>
    </w:p>
    <w:p>
      <w:pPr>
        <w:pStyle w:val="ListBullet"/>
      </w:pPr>
      <w:r>
        <w:t>Provider payment attempts are idempotent by provider_code + idempotency_key; provider transaction references are unique per provider.</w:t>
      </w:r>
    </w:p>
    <w:p>
      <w:pPr>
        <w:pStyle w:val="ListBullet"/>
      </w:pPr>
      <w:r>
        <w:t>Do not store PAN/card number, CVV, bank credentials, provider API secrets, or raw payment webhook bodies. Store only provider references and a separately governed payload reference.</w:t>
      </w:r>
    </w:p>
    <w:p>
      <w:pPr>
        <w:pStyle w:val="ListBullet"/>
      </w:pPr>
      <w:r>
        <w:t>wallet_ledger is append-only. A correction is a new opposite-signed compensating entry with its own idempotency key.</w:t>
      </w:r>
    </w:p>
    <w:p>
      <w:pPr>
        <w:pStyle w:val="ListBullet"/>
      </w:pPr>
      <w:r>
        <w:t>wallet_ledger uses signed quantities. Business rules must define whether positive/negative direction is allowed for each entry_type_code and unit_code; a database balance is derived from the ledger, not updated independently.</w:t>
      </w:r>
    </w:p>
    <w:p>
      <w:pPr>
        <w:pStyle w:val="ListBullet"/>
      </w:pPr>
      <w:r>
        <w:t>Refund lifecycle and partial refunds require provider reconciliation and compensating ledger entries; the payment_transaction status is not itself a complete double-entry accounting ledger.</w:t>
      </w:r>
    </w:p>
    <w:p>
      <w:pPr>
        <w:pStyle w:val="Heading1"/>
      </w:pPr>
      <w:r>
        <w:t>7. Data classification and retention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t>Data group</w:t>
            </w:r>
          </w:p>
        </w:tc>
        <w:tc>
          <w:tcPr>
            <w:tcW w:type="dxa" w:w="3360"/>
            <w:vAlign w:val="center"/>
          </w:tcPr>
          <w:p>
            <w:r>
              <w:rPr>
                <w:sz w:val="16"/>
              </w:rPr>
              <w:t>Classification</w:t>
            </w:r>
          </w:p>
        </w:tc>
        <w:tc>
          <w:tcPr>
            <w:tcW w:type="dxa" w:w="3360"/>
            <w:vAlign w:val="center"/>
          </w:tcPr>
          <w:p>
            <w:r>
              <w:rPr>
                <w:sz w:val="16"/>
              </w:rPr>
              <w:t>Control</w:t>
            </w:r>
          </w:p>
        </w:tc>
      </w:tr>
      <w:tr>
        <w:tc>
          <w:tcPr>
            <w:tcW w:type="dxa" w:w="3360"/>
            <w:vAlign w:val="center"/>
          </w:tcPr>
          <w:p>
            <w:r>
              <w:rPr>
                <w:sz w:val="16"/>
              </w:rPr>
              <w:t>Plan/feature catalog and entitlement configuration</w:t>
            </w:r>
          </w:p>
        </w:tc>
        <w:tc>
          <w:tcPr>
            <w:tcW w:type="dxa" w:w="3360"/>
            <w:vAlign w:val="center"/>
          </w:tcPr>
          <w:p>
            <w:r>
              <w:rPr>
                <w:sz w:val="16"/>
              </w:rPr>
              <w:t>Internal</w:t>
            </w:r>
          </w:p>
        </w:tc>
        <w:tc>
          <w:tcPr>
            <w:tcW w:type="dxa" w:w="3360"/>
            <w:vAlign w:val="center"/>
          </w:tcPr>
          <w:p>
            <w:r>
              <w:rPr>
                <w:sz w:val="16"/>
              </w:rPr>
              <w:t>RBAC; versioned changes; audit administration actions.</w:t>
            </w:r>
          </w:p>
        </w:tc>
      </w:tr>
      <w:tr>
        <w:tc>
          <w:tcPr>
            <w:tcW w:type="dxa" w:w="3360"/>
            <w:vAlign w:val="center"/>
          </w:tcPr>
          <w:p>
            <w:r>
              <w:rPr>
                <w:sz w:val="16"/>
              </w:rPr>
              <w:t>Account/user foreign keys and subscription status</w:t>
            </w:r>
          </w:p>
        </w:tc>
        <w:tc>
          <w:tcPr>
            <w:tcW w:type="dxa" w:w="3360"/>
            <w:vAlign w:val="center"/>
          </w:tcPr>
          <w:p>
            <w:r>
              <w:rPr>
                <w:sz w:val="16"/>
              </w:rPr>
              <w:t>Internal / Personal linkage</w:t>
            </w:r>
          </w:p>
        </w:tc>
        <w:tc>
          <w:tcPr>
            <w:tcW w:type="dxa" w:w="3360"/>
            <w:vAlign w:val="center"/>
          </w:tcPr>
          <w:p>
            <w:r>
              <w:rPr>
                <w:sz w:val="16"/>
              </w:rPr>
              <w:t>Tenant-scoped access; least privilege; avoid cross-tenant reads.</w:t>
            </w:r>
          </w:p>
        </w:tc>
      </w:tr>
      <w:tr>
        <w:tc>
          <w:tcPr>
            <w:tcW w:type="dxa" w:w="3360"/>
            <w:vAlign w:val="center"/>
          </w:tcPr>
          <w:p>
            <w:r>
              <w:rPr>
                <w:sz w:val="16"/>
              </w:rPr>
              <w:t>Device identifier hash and session linkage</w:t>
            </w:r>
          </w:p>
        </w:tc>
        <w:tc>
          <w:tcPr>
            <w:tcW w:type="dxa" w:w="3360"/>
            <w:vAlign w:val="center"/>
          </w:tcPr>
          <w:p>
            <w:r>
              <w:rPr>
                <w:sz w:val="16"/>
              </w:rPr>
              <w:t>Sensitive security telemetry</w:t>
            </w:r>
          </w:p>
        </w:tc>
        <w:tc>
          <w:tcPr>
            <w:tcW w:type="dxa" w:w="3360"/>
            <w:vAlign w:val="center"/>
          </w:tcPr>
          <w:p>
            <w:r>
              <w:rPr>
                <w:sz w:val="16"/>
              </w:rPr>
              <w:t>SHA-256 hash of a random/stable device token; no raw fingerprint; retention policy and access logging.</w:t>
            </w:r>
          </w:p>
        </w:tc>
      </w:tr>
      <w:tr>
        <w:tc>
          <w:tcPr>
            <w:tcW w:type="dxa" w:w="3360"/>
            <w:vAlign w:val="center"/>
          </w:tcPr>
          <w:p>
            <w:r>
              <w:rPr>
                <w:sz w:val="16"/>
              </w:rPr>
              <w:t>Invoice, amounts, provider references</w:t>
            </w:r>
          </w:p>
        </w:tc>
        <w:tc>
          <w:tcPr>
            <w:tcW w:type="dxa" w:w="3360"/>
            <w:vAlign w:val="center"/>
          </w:tcPr>
          <w:p>
            <w:r>
              <w:rPr>
                <w:sz w:val="16"/>
              </w:rPr>
              <w:t>Confidential financial data</w:t>
            </w:r>
          </w:p>
        </w:tc>
        <w:tc>
          <w:tcPr>
            <w:tcW w:type="dxa" w:w="3360"/>
            <w:vAlign w:val="center"/>
          </w:tcPr>
          <w:p>
            <w:r>
              <w:rPr>
                <w:sz w:val="16"/>
              </w:rPr>
              <w:t>Least-privilege billing roles; encryption at rest; provider secrets outside DB.</w:t>
            </w:r>
          </w:p>
        </w:tc>
      </w:tr>
      <w:tr>
        <w:tc>
          <w:tcPr>
            <w:tcW w:type="dxa" w:w="3360"/>
            <w:vAlign w:val="center"/>
          </w:tcPr>
          <w:p>
            <w:r>
              <w:rPr>
                <w:sz w:val="16"/>
              </w:rPr>
              <w:t>Wallet ledger and subscription events</w:t>
            </w:r>
          </w:p>
        </w:tc>
        <w:tc>
          <w:tcPr>
            <w:tcW w:type="dxa" w:w="3360"/>
            <w:vAlign w:val="center"/>
          </w:tcPr>
          <w:p>
            <w:r>
              <w:rPr>
                <w:sz w:val="16"/>
              </w:rPr>
              <w:t>Confidential audit/financial history</w:t>
            </w:r>
          </w:p>
        </w:tc>
        <w:tc>
          <w:tcPr>
            <w:tcW w:type="dxa" w:w="3360"/>
            <w:vAlign w:val="center"/>
          </w:tcPr>
          <w:p>
            <w:r>
              <w:rPr>
                <w:sz w:val="16"/>
              </w:rPr>
              <w:t>Append-only database triggers and restricted DB roles.</w:t>
            </w:r>
          </w:p>
        </w:tc>
      </w:tr>
      <w:tr>
        <w:tc>
          <w:tcPr>
            <w:tcW w:type="dxa" w:w="3360"/>
            <w:vAlign w:val="center"/>
          </w:tcPr>
          <w:p>
            <w:r>
              <w:rPr>
                <w:sz w:val="16"/>
              </w:rPr>
              <w:t>Request IDs and JSON metadata</w:t>
            </w:r>
          </w:p>
        </w:tc>
        <w:tc>
          <w:tcPr>
            <w:tcW w:type="dxa" w:w="3360"/>
            <w:vAlign w:val="center"/>
          </w:tcPr>
          <w:p>
            <w:r>
              <w:rPr>
                <w:sz w:val="16"/>
              </w:rPr>
              <w:t>Internal; may become sensitive</w:t>
            </w:r>
          </w:p>
        </w:tc>
        <w:tc>
          <w:tcPr>
            <w:tcW w:type="dxa" w:w="3360"/>
            <w:vAlign w:val="center"/>
          </w:tcPr>
          <w:p>
            <w:r>
              <w:rPr>
                <w:sz w:val="16"/>
              </w:rPr>
              <w:t>Allowlist metadata keys; never include credentials, raw tokens, card data or unnecessary PII.</w:t>
            </w:r>
          </w:p>
        </w:tc>
      </w:tr>
    </w:tbl>
    <w:p>
      <w:pPr>
        <w:pStyle w:val="Heading1"/>
      </w:pPr>
      <w:r>
        <w:t>8. Key constraints and indexes</w:t>
      </w:r>
    </w:p>
    <w:p>
      <w:pPr>
        <w:pStyle w:val="ListBullet"/>
      </w:pPr>
      <w:r>
        <w:t>Unique plan code, plan-version number, feature code, plan-version/feature entitlement pair.</w:t>
      </w:r>
    </w:p>
    <w:p>
      <w:pPr>
        <w:pStyle w:val="ListBullet"/>
      </w:pPr>
      <w:r>
        <w:t>Exactly one typed entitlement value and trigger validation against feature.feature_type_code.</w:t>
      </w:r>
    </w:p>
    <w:p>
      <w:pPr>
        <w:pStyle w:val="ListBullet"/>
      </w:pPr>
      <w:r>
        <w:t>One live subscription per account using a partial unique index.</w:t>
      </w:r>
    </w:p>
    <w:p>
      <w:pPr>
        <w:pStyle w:val="ListBullet"/>
      </w:pPr>
      <w:r>
        <w:t>One active seat assignment per subscription/user; device hash unique; device must match the same subscription as its assignment.</w:t>
      </w:r>
    </w:p>
    <w:p>
      <w:pPr>
        <w:pStyle w:val="ListBullet"/>
      </w:pPr>
      <w:r>
        <w:t>Subscription and period windows must have positive duration; monetary amounts and usage quantities cannot be negative.</w:t>
      </w:r>
    </w:p>
    <w:p>
      <w:pPr>
        <w:pStyle w:val="ListBullet"/>
      </w:pPr>
      <w:r>
        <w:t>Idempotency uniqueness for subscriptions, invoices, payment attempts, wallet entries, and subscription events.</w:t>
      </w:r>
    </w:p>
    <w:p>
      <w:pPr>
        <w:pStyle w:val="ListBullet"/>
      </w:pPr>
      <w:r>
        <w:t>Append-only triggers on wallet_ledger and subscription_event. Production database roles must also deny UPDATE/DELETE to these tables; trigger protection is defense in depth.</w:t>
      </w:r>
    </w:p>
    <w:p>
      <w:pPr>
        <w:pStyle w:val="Heading1"/>
      </w:pPr>
      <w:r>
        <w:t>9. Migration and deployment order</w:t>
      </w:r>
    </w:p>
    <w:p>
      <w:r>
        <w:t>1. Create a disposable PostgreSQL database using the repository's supported PostgreSQL version.</w:t>
      </w:r>
    </w:p>
    <w:p>
      <w:r>
        <w:t>2. Run existing sql/setup_all.sql and confirm Phase 1/Phase 2 seed data and regression tests pass.</w:t>
      </w:r>
    </w:p>
    <w:p>
      <w:r>
        <w:t>3. Run sql/phase3_billing_licensing.sql. It creates billing schema and its objects but is intentionally not added to setup_all.sql automatically.</w:t>
      </w:r>
    </w:p>
    <w:p>
      <w:r>
        <w:t>4. Run sql/billing_licensing_regression_test.sql. It expects seeded master_data.currency, administration.user_account, and a non-deleted organisation.account.</w:t>
      </w:r>
    </w:p>
    <w:p>
      <w:r>
        <w:t>5. Add explicit tests for the local seed data and application service transactions for numeric seat/device caps, concurrent allocation, renewal/period overlap, and session revocation.</w:t>
      </w:r>
    </w:p>
    <w:p>
      <w:r>
        <w:t>6. Only after validation, add the migration to a versioned migration runner or to setup_all.sql in dependency order and document rollback/backup procedures.</w:t>
      </w:r>
    </w:p>
    <w:p>
      <w:r>
        <w:t>The companion regression file is a baseline, not a substitute for integration testing. In particular, concurrency caps are service-transaction contracts and require tests with two independent database sessions.</w:t>
      </w:r>
    </w:p>
    <w:p>
      <w:pPr>
        <w:pStyle w:val="Heading1"/>
      </w:pPr>
      <w:r>
        <w:t>10. Docket and acceptance matrix</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sz w:val="16"/>
              </w:rPr>
              <w:t>Requirement</w:t>
            </w:r>
          </w:p>
        </w:tc>
        <w:tc>
          <w:tcPr>
            <w:tcW w:type="dxa" w:w="5040"/>
            <w:vAlign w:val="center"/>
          </w:tcPr>
          <w:p>
            <w:r>
              <w:rPr>
                <w:sz w:val="16"/>
              </w:rPr>
              <w:t>Implementation / acceptance evidence</w:t>
            </w:r>
          </w:p>
        </w:tc>
      </w:tr>
      <w:tr>
        <w:tc>
          <w:tcPr>
            <w:tcW w:type="dxa" w:w="5040"/>
            <w:vAlign w:val="center"/>
          </w:tcPr>
          <w:p>
            <w:r>
              <w:rPr>
                <w:sz w:val="16"/>
              </w:rPr>
              <w:t>Canonical tenant and user references</w:t>
            </w:r>
          </w:p>
        </w:tc>
        <w:tc>
          <w:tcPr>
            <w:tcW w:type="dxa" w:w="5040"/>
            <w:vAlign w:val="center"/>
          </w:tcPr>
          <w:p>
            <w:r>
              <w:rPr>
                <w:sz w:val="16"/>
              </w:rPr>
              <w:t>FKs to organisation.account and administration.user_account in migration.</w:t>
            </w:r>
          </w:p>
        </w:tc>
      </w:tr>
      <w:tr>
        <w:tc>
          <w:tcPr>
            <w:tcW w:type="dxa" w:w="5040"/>
            <w:vAlign w:val="center"/>
          </w:tcPr>
          <w:p>
            <w:r>
              <w:rPr>
                <w:sz w:val="16"/>
              </w:rPr>
              <w:t>Versioned plans and typed entitlements</w:t>
            </w:r>
          </w:p>
        </w:tc>
        <w:tc>
          <w:tcPr>
            <w:tcW w:type="dxa" w:w="5040"/>
            <w:vAlign w:val="center"/>
          </w:tcPr>
          <w:p>
            <w:r>
              <w:rPr>
                <w:sz w:val="16"/>
              </w:rPr>
              <w:t>subscription_plan_version + plan_entitlement + trigger.</w:t>
            </w:r>
          </w:p>
        </w:tc>
      </w:tr>
      <w:tr>
        <w:tc>
          <w:tcPr>
            <w:tcW w:type="dxa" w:w="5040"/>
            <w:vAlign w:val="center"/>
          </w:tcPr>
          <w:p>
            <w:r>
              <w:rPr>
                <w:sz w:val="16"/>
              </w:rPr>
              <w:t>Seat allocation/revocation</w:t>
            </w:r>
          </w:p>
        </w:tc>
        <w:tc>
          <w:tcPr>
            <w:tcW w:type="dxa" w:w="5040"/>
            <w:vAlign w:val="center"/>
          </w:tcPr>
          <w:p>
            <w:r>
              <w:rPr>
                <w:sz w:val="16"/>
              </w:rPr>
              <w:t>licence_assignment partial unique index, actor/reason fields, transaction-level quota enforcement.</w:t>
            </w:r>
          </w:p>
        </w:tc>
      </w:tr>
      <w:tr>
        <w:tc>
          <w:tcPr>
            <w:tcW w:type="dxa" w:w="5040"/>
            <w:vAlign w:val="center"/>
          </w:tcPr>
          <w:p>
            <w:r>
              <w:rPr>
                <w:sz w:val="16"/>
              </w:rPr>
              <w:t>Device limit and identity integration</w:t>
            </w:r>
          </w:p>
        </w:tc>
        <w:tc>
          <w:tcPr>
            <w:tcW w:type="dxa" w:w="5040"/>
            <w:vAlign w:val="center"/>
          </w:tcPr>
          <w:p>
            <w:r>
              <w:rPr>
                <w:sz w:val="16"/>
              </w:rPr>
              <w:t>registered_device hash + assignment FK; login flow checks Administration session and licence state.</w:t>
            </w:r>
          </w:p>
        </w:tc>
      </w:tr>
      <w:tr>
        <w:tc>
          <w:tcPr>
            <w:tcW w:type="dxa" w:w="5040"/>
            <w:vAlign w:val="center"/>
          </w:tcPr>
          <w:p>
            <w:r>
              <w:rPr>
                <w:sz w:val="16"/>
              </w:rPr>
              <w:t>Invoice/payment idempotency</w:t>
            </w:r>
          </w:p>
        </w:tc>
        <w:tc>
          <w:tcPr>
            <w:tcW w:type="dxa" w:w="5040"/>
            <w:vAlign w:val="center"/>
          </w:tcPr>
          <w:p>
            <w:r>
              <w:rPr>
                <w:sz w:val="16"/>
              </w:rPr>
              <w:t>Unique invoice/payment idempotency keys and provider references.</w:t>
            </w:r>
          </w:p>
        </w:tc>
      </w:tr>
      <w:tr>
        <w:tc>
          <w:tcPr>
            <w:tcW w:type="dxa" w:w="5040"/>
            <w:vAlign w:val="center"/>
          </w:tcPr>
          <w:p>
            <w:r>
              <w:rPr>
                <w:sz w:val="16"/>
              </w:rPr>
              <w:t>Wallet history immutable</w:t>
            </w:r>
          </w:p>
        </w:tc>
        <w:tc>
          <w:tcPr>
            <w:tcW w:type="dxa" w:w="5040"/>
            <w:vAlign w:val="center"/>
          </w:tcPr>
          <w:p>
            <w:r>
              <w:rPr>
                <w:sz w:val="16"/>
              </w:rPr>
              <w:t>wallet_ledger append-only trigger; compensating entries only.</w:t>
            </w:r>
          </w:p>
        </w:tc>
      </w:tr>
      <w:tr>
        <w:tc>
          <w:tcPr>
            <w:tcW w:type="dxa" w:w="5040"/>
            <w:vAlign w:val="center"/>
          </w:tcPr>
          <w:p>
            <w:r>
              <w:rPr>
                <w:sz w:val="16"/>
              </w:rPr>
              <w:t>Subscription lifecycle audit</w:t>
            </w:r>
          </w:p>
        </w:tc>
        <w:tc>
          <w:tcPr>
            <w:tcW w:type="dxa" w:w="5040"/>
            <w:vAlign w:val="center"/>
          </w:tcPr>
          <w:p>
            <w:r>
              <w:rPr>
                <w:sz w:val="16"/>
              </w:rPr>
              <w:t>subscription_event append-only trigger and idempotency key.</w:t>
            </w:r>
          </w:p>
        </w:tc>
      </w:tr>
      <w:tr>
        <w:tc>
          <w:tcPr>
            <w:tcW w:type="dxa" w:w="5040"/>
            <w:vAlign w:val="center"/>
          </w:tcPr>
          <w:p>
            <w:r>
              <w:rPr>
                <w:sz w:val="16"/>
              </w:rPr>
              <w:t>Regression tests</w:t>
            </w:r>
          </w:p>
        </w:tc>
        <w:tc>
          <w:tcPr>
            <w:tcW w:type="dxa" w:w="5040"/>
            <w:vAlign w:val="center"/>
          </w:tcPr>
          <w:p>
            <w:r>
              <w:rPr>
                <w:sz w:val="16"/>
              </w:rPr>
              <w:t>Companion SQL tests schema constraints and append-only behavior; integration tests still required for concurrency and service workflows.</w:t>
            </w:r>
          </w:p>
        </w:tc>
      </w:tr>
    </w:tbl>
    <w:p>
      <w:pPr>
        <w:pStyle w:val="Heading1"/>
      </w:pPr>
      <w:r>
        <w:t>11. Explicit assumptions and out-of-scope decisions</w:t>
      </w:r>
    </w:p>
    <w:p>
      <w:pPr>
        <w:pStyle w:val="ListBullet"/>
      </w:pPr>
      <w:r>
        <w:t>Plan prices are stored per currency and plan version. Tax jurisdiction resolution and tax-rate selection use existing master_data.tax_rate but must be implemented by the billing service once the tax nexus requirements are approved.</w:t>
      </w:r>
    </w:p>
    <w:p>
      <w:pPr>
        <w:pStyle w:val="ListBullet"/>
      </w:pPr>
      <w:r>
        <w:t>Payment providers are abstracted by provider_code and external references. Provider-specific webhook signature verification and secret management are application/infrastructure responsibilities.</w:t>
      </w:r>
    </w:p>
    <w:p>
      <w:pPr>
        <w:pStyle w:val="ListBullet"/>
      </w:pPr>
      <w:r>
        <w:t>Refunds are represented by provider transaction state and compensating wallet entries; a complete accounting-grade double-entry journal is not included unless finance requirements demand it.</w:t>
      </w:r>
    </w:p>
    <w:p>
      <w:pPr>
        <w:pStyle w:val="ListBullet"/>
      </w:pPr>
      <w:r>
        <w:t>Numeric seat/device caps cannot be fully enforced by a simple CHECK constraint because they depend on counts. They require transactional service logic with stable parent-row locking and dedicated concurrency tests.</w:t>
      </w:r>
    </w:p>
    <w:p>
      <w:pPr>
        <w:pStyle w:val="ListBullet"/>
      </w:pPr>
      <w:r>
        <w:t>Subscription periods are stored as history. Preventing overlapping arbitrary period ranges across rows requires an exclusion constraint or trigger if the business policy requires no overlap; this migration enforces unique starts and valid windows but does not claim complete overlap prevention.</w:t>
      </w:r>
    </w:p>
    <w:p>
      <w:pPr>
        <w:pStyle w:val="ListBullet"/>
      </w:pPr>
      <w:r>
        <w:t>Existing `organisation.audit_event` and `administration.audit_event` have separate domain ownership. Billing writes subscription_event and should additionally emit security/business events through the application audit integration; it does not create a third generic audit table.</w:t>
      </w:r>
    </w:p>
    <w:p>
      <w:pPr>
        <w:pStyle w:val="ListBullet"/>
      </w:pPr>
      <w:r>
        <w:t>Do not treat this document as proof that Phase 3 is already deployed. The repository's current setup_all.sql covers Phase 1 and Phase 2; this migration is a new Phase 3 candidate.</w:t>
      </w:r>
    </w:p>
    <w:p>
      <w:pPr>
        <w:pStyle w:val="Heading1"/>
      </w:pPr>
      <w:r>
        <w:t>12. Repository references</w:t>
      </w:r>
    </w:p>
    <w:p>
      <w:pPr>
        <w:pStyle w:val="ListBullet"/>
      </w:pPr>
      <w:r>
        <w:t>README.md — repository conventions, module overview and local setup.</w:t>
      </w:r>
    </w:p>
    <w:p>
      <w:pPr>
        <w:pStyle w:val="ListBullet"/>
      </w:pPr>
      <w:r>
        <w:t>sql/setup_all.sql — Phase 1/Phase 2 dependency order.</w:t>
      </w:r>
    </w:p>
    <w:p>
      <w:pPr>
        <w:pStyle w:val="ListBullet"/>
      </w:pPr>
      <w:r>
        <w:t>sql/phase2_administration.sql — canonical user_account and identity_session definitions.</w:t>
      </w:r>
    </w:p>
    <w:p>
      <w:pPr>
        <w:pStyle w:val="ListBullet"/>
      </w:pPr>
      <w:r>
        <w:t>sql/phase2_organisation.sql — organisation.account tenant definition.</w:t>
      </w:r>
    </w:p>
    <w:p>
      <w:pPr>
        <w:pStyle w:val="ListBullet"/>
      </w:pPr>
      <w:r>
        <w:t>docs/master-architecture-plan-and-phase3-roadmap.md — planned billing schema names and Phase 3 boundaries.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