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4.jpeg" ContentType="image/jpeg"/>
  <Override PartName="/word/media/image13.jpeg" ContentType="image/jpeg"/>
  <Override PartName="/word/media/image12.jpeg" ContentType="image/jpeg"/>
  <Override PartName="/word/media/image10.jpeg" ContentType="image/jpeg"/>
  <Override PartName="/word/media/image9.jpeg" ContentType="image/jpeg"/>
  <Override PartName="/word/media/image8.jpeg" ContentType="image/jpeg"/>
  <Override PartName="/word/media/image7.jpeg" ContentType="image/jpeg"/>
  <Override PartName="/word/media/image16.jpeg" ContentType="image/jpeg"/>
  <Override PartName="/word/media/image2.jpeg" ContentType="image/jpeg"/>
  <Override PartName="/word/media/image15.jpeg" ContentType="image/jpeg"/>
  <Override PartName="/word/media/image1.jpeg" ContentType="image/jpeg"/>
  <Override PartName="/word/media/image11.png" ContentType="image/pn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b/>
          <w:sz w:val="32"/>
          <w:szCs w:val="32"/>
        </w:rPr>
        <w:t>Инструкция</w:t>
      </w:r>
    </w:p>
    <w:p>
      <w:pPr>
        <w:pStyle w:val="Normal"/>
        <w:jc w:val="center"/>
        <w:rPr/>
      </w:pPr>
      <w:r>
        <w:rPr>
          <w:b/>
          <w:sz w:val="32"/>
          <w:szCs w:val="32"/>
        </w:rPr>
        <w:t>по работе с трекером задач</w:t>
      </w:r>
    </w:p>
    <w:p>
      <w:pPr>
        <w:pStyle w:val="Normal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firstLine="567"/>
        <w:jc w:val="both"/>
        <w:rPr/>
      </w:pPr>
      <w:r>
        <w:rPr>
          <w:sz w:val="28"/>
          <w:szCs w:val="28"/>
        </w:rPr>
        <w:t>Трекер задач, представляет из себя инструмент, позволяющий в реальном времени видеть загрузку инженерных ресурсов, компетенции, которыми обладает каждый инженер, занесенный в систему, привлекать инженера\коллегу для работы над проектами\задачами.</w:t>
      </w:r>
    </w:p>
    <w:p>
      <w:pPr>
        <w:pStyle w:val="Normal"/>
        <w:ind w:firstLine="567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b/>
          <w:sz w:val="32"/>
          <w:szCs w:val="32"/>
        </w:rPr>
        <w:t>Критерии задач</w:t>
      </w:r>
    </w:p>
    <w:p>
      <w:pPr>
        <w:pStyle w:val="Normal"/>
        <w:ind w:firstLine="567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240" w:before="0" w:after="0"/>
        <w:ind w:left="927" w:hanging="0"/>
        <w:contextualSpacing/>
        <w:rPr/>
      </w:pPr>
      <w:r>
        <w:rPr>
          <w:rFonts w:cs="Times New Roman" w:ascii="Times New Roman" w:hAnsi="Times New Roman"/>
          <w:sz w:val="28"/>
          <w:szCs w:val="28"/>
        </w:rPr>
        <w:t xml:space="preserve">В данную систему заводятся задачи, которые по объективным признакам не могут быть размещены в системах </w:t>
      </w:r>
      <w:r>
        <w:rPr>
          <w:rFonts w:cs="Times New Roman" w:ascii="Times New Roman" w:hAnsi="Times New Roman"/>
          <w:sz w:val="28"/>
          <w:szCs w:val="28"/>
          <w:lang w:val="en-US"/>
        </w:rPr>
        <w:t>Remedy</w:t>
      </w:r>
      <w:r>
        <w:rPr>
          <w:rFonts w:cs="Times New Roman" w:ascii="Times New Roman" w:hAnsi="Times New Roman"/>
          <w:sz w:val="28"/>
          <w:szCs w:val="28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/>
        </w:rPr>
        <w:t>WFS</w:t>
      </w:r>
      <w:r>
        <w:rPr>
          <w:rFonts w:cs="Times New Roman" w:ascii="Times New Roman" w:hAnsi="Times New Roman"/>
          <w:sz w:val="28"/>
          <w:szCs w:val="28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/>
        </w:rPr>
        <w:t>Jira</w:t>
      </w:r>
      <w:r>
        <w:rPr>
          <w:rFonts w:cs="Times New Roman" w:ascii="Times New Roman" w:hAnsi="Times New Roman"/>
          <w:sz w:val="28"/>
          <w:szCs w:val="28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/>
        </w:rPr>
        <w:t>Basecamp</w:t>
      </w:r>
      <w:r>
        <w:rPr>
          <w:rFonts w:cs="Times New Roman" w:ascii="Times New Roman" w:hAnsi="Times New Roman"/>
          <w:sz w:val="28"/>
          <w:szCs w:val="28"/>
        </w:rPr>
        <w:t xml:space="preserve"> (РТК):</w:t>
      </w:r>
    </w:p>
    <w:p>
      <w:pPr>
        <w:pStyle w:val="ListParagraph"/>
        <w:ind w:left="927" w:hanging="0"/>
        <w:rPr/>
      </w:pPr>
      <w:r>
        <w:rPr>
          <w:rFonts w:cs="Times New Roman" w:ascii="Times New Roman" w:hAnsi="Times New Roman"/>
          <w:sz w:val="28"/>
          <w:szCs w:val="28"/>
        </w:rPr>
        <w:t>- Постановка задачи инженеру на выезд, если он происходит вне сервисного договора и заявка не регистрируется в Remedy;</w:t>
      </w:r>
    </w:p>
    <w:p>
      <w:pPr>
        <w:pStyle w:val="ListParagraph"/>
        <w:ind w:left="927" w:hanging="0"/>
        <w:rPr/>
      </w:pPr>
      <w:r>
        <w:rPr>
          <w:rFonts w:cs="Times New Roman" w:ascii="Times New Roman" w:hAnsi="Times New Roman"/>
          <w:sz w:val="28"/>
          <w:szCs w:val="28"/>
        </w:rPr>
        <w:t>- Постановка задач на диагностику оборудования перед\после ремонта;</w:t>
      </w:r>
    </w:p>
    <w:p>
      <w:pPr>
        <w:pStyle w:val="ListParagraph"/>
        <w:ind w:left="927" w:hanging="0"/>
        <w:rPr/>
      </w:pPr>
      <w:r>
        <w:rPr>
          <w:rFonts w:cs="Times New Roman" w:ascii="Times New Roman" w:hAnsi="Times New Roman"/>
          <w:sz w:val="28"/>
          <w:szCs w:val="28"/>
        </w:rPr>
        <w:t>- Задачи, решаемые внутри департамента\компании (подготовка виртуальных машин, серверов, регламентные работы на оборудовании для внутренних нужд и т.д.);</w:t>
      </w:r>
    </w:p>
    <w:p>
      <w:pPr>
        <w:pStyle w:val="ListParagraph"/>
        <w:ind w:left="927" w:hanging="0"/>
        <w:rPr/>
      </w:pPr>
      <w:r>
        <w:rPr>
          <w:rFonts w:cs="Times New Roman" w:ascii="Times New Roman" w:hAnsi="Times New Roman"/>
          <w:sz w:val="28"/>
          <w:szCs w:val="28"/>
        </w:rPr>
        <w:t>- Задачи технического пресейла, решаемые вне WFS задач</w:t>
      </w:r>
    </w:p>
    <w:p>
      <w:pPr>
        <w:pStyle w:val="ListParagraph"/>
        <w:spacing w:lineRule="auto" w:line="240" w:before="0" w:after="0"/>
        <w:ind w:left="927" w:hanging="0"/>
        <w:contextualSpacing/>
        <w:rPr/>
      </w:pPr>
      <w:r>
        <w:rPr>
          <w:rFonts w:cs="Times New Roman" w:ascii="Times New Roman" w:hAnsi="Times New Roman"/>
          <w:sz w:val="28"/>
          <w:szCs w:val="28"/>
        </w:rPr>
        <w:t>- Задачи\работы проводимые однократно для заказчиков, у которых нет договора с Компанией</w:t>
      </w:r>
    </w:p>
    <w:p>
      <w:pPr>
        <w:pStyle w:val="ListParagraph"/>
        <w:spacing w:lineRule="auto" w:line="240" w:before="0" w:after="0"/>
        <w:ind w:left="927" w:hanging="0"/>
        <w:contextualSpacing/>
        <w:rPr/>
      </w:pPr>
      <w:r>
        <w:rPr>
          <w:rFonts w:cs="Times New Roman" w:ascii="Times New Roman" w:hAnsi="Times New Roman"/>
          <w:sz w:val="28"/>
          <w:szCs w:val="28"/>
        </w:rPr>
        <w:t>- Обучение (внутреннее\внешнее)</w:t>
      </w:r>
    </w:p>
    <w:p>
      <w:pPr>
        <w:pStyle w:val="Normal"/>
        <w:ind w:left="567" w:hanging="0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Normal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Начало работы с системой</w:t>
      </w:r>
    </w:p>
    <w:p>
      <w:pPr>
        <w:pStyle w:val="Normal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Для доступа к системе необходимо перейти по ссылке: </w:t>
      </w:r>
    </w:p>
    <w:p>
      <w:pPr>
        <w:pStyle w:val="Normal"/>
        <w:ind w:firstLine="567"/>
        <w:rPr/>
      </w:pPr>
      <w:r>
        <w:rPr>
          <w:rStyle w:val="InternetLink"/>
          <w:color w:val="auto"/>
          <w:sz w:val="28"/>
          <w:szCs w:val="28"/>
          <w:u w:val="none"/>
        </w:rPr>
        <w:t>- доступ из офиса</w:t>
      </w:r>
    </w:p>
    <w:p>
      <w:pPr>
        <w:pStyle w:val="Normal"/>
        <w:ind w:firstLine="567"/>
        <w:rPr/>
      </w:pPr>
      <w:r>
        <w:rPr>
          <w:sz w:val="28"/>
          <w:szCs w:val="28"/>
        </w:rPr>
        <w:t>- доступ из вне</w:t>
      </w:r>
    </w:p>
    <w:p>
      <w:pPr>
        <w:pStyle w:val="Normal"/>
        <w:ind w:firstLine="567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567"/>
        <w:rPr>
          <w:sz w:val="28"/>
          <w:szCs w:val="28"/>
        </w:rPr>
      </w:pPr>
      <w:r>
        <w:rPr>
          <w:sz w:val="28"/>
          <w:szCs w:val="28"/>
        </w:rPr>
        <w:t>Система стабильно работает в следующих версиях браузеров (</w:t>
      </w:r>
      <w:r>
        <w:rPr>
          <w:sz w:val="28"/>
          <w:szCs w:val="28"/>
          <w:lang w:val="en-US"/>
        </w:rPr>
        <w:t>min</w:t>
      </w:r>
      <w:r>
        <w:rPr>
          <w:sz w:val="28"/>
          <w:szCs w:val="28"/>
        </w:rPr>
        <w:t xml:space="preserve"> версия и выше):</w:t>
      </w:r>
    </w:p>
    <w:p>
      <w:pPr>
        <w:pStyle w:val="Normal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- десктопные устройства: </w:t>
      </w:r>
      <w:r>
        <w:rPr>
          <w:sz w:val="28"/>
          <w:szCs w:val="28"/>
          <w:lang w:val="en-US"/>
        </w:rPr>
        <w:t>Chrome</w:t>
      </w:r>
      <w:r>
        <w:rPr>
          <w:sz w:val="28"/>
          <w:szCs w:val="28"/>
        </w:rPr>
        <w:t xml:space="preserve"> – 20; </w:t>
      </w:r>
      <w:r>
        <w:rPr>
          <w:sz w:val="28"/>
          <w:szCs w:val="28"/>
          <w:lang w:val="en-US"/>
        </w:rPr>
        <w:t>Edge</w:t>
      </w:r>
      <w:r>
        <w:rPr>
          <w:sz w:val="28"/>
          <w:szCs w:val="28"/>
        </w:rPr>
        <w:t xml:space="preserve"> – 12; </w:t>
      </w:r>
      <w:r>
        <w:rPr>
          <w:sz w:val="28"/>
          <w:szCs w:val="28"/>
          <w:lang w:val="en-US"/>
        </w:rPr>
        <w:t>Opera</w:t>
      </w:r>
      <w:r>
        <w:rPr>
          <w:sz w:val="28"/>
          <w:szCs w:val="28"/>
        </w:rPr>
        <w:t xml:space="preserve"> – 11;</w:t>
      </w:r>
    </w:p>
    <w:p>
      <w:pPr>
        <w:pStyle w:val="Normal"/>
        <w:ind w:firstLine="567"/>
        <w:rPr/>
      </w:pPr>
      <w:r>
        <w:rPr>
          <w:sz w:val="28"/>
          <w:szCs w:val="28"/>
        </w:rPr>
        <w:t xml:space="preserve">- мобильные устройства: </w:t>
      </w:r>
      <w:r>
        <w:rPr>
          <w:sz w:val="28"/>
          <w:szCs w:val="28"/>
          <w:lang w:val="en-US"/>
        </w:rPr>
        <w:t>Chrome</w:t>
      </w:r>
      <w:r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Edge</w:t>
      </w:r>
      <w:r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Opera</w:t>
      </w:r>
      <w:r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Firefox</w:t>
      </w:r>
      <w:r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Safari</w:t>
      </w:r>
      <w:r>
        <w:rPr>
          <w:sz w:val="28"/>
          <w:szCs w:val="28"/>
        </w:rPr>
        <w:t>.</w:t>
      </w:r>
    </w:p>
    <w:p>
      <w:pPr>
        <w:pStyle w:val="Normal"/>
        <w:ind w:firstLine="567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567"/>
        <w:rPr/>
      </w:pPr>
      <w:r>
        <w:rPr>
          <w:sz w:val="28"/>
          <w:szCs w:val="28"/>
        </w:rPr>
        <w:t>В начале работы с системой необходимо авторизоваться в системе, логин и пароль присылается системой автоматически СМС-сообщением, при заведении учетной записи.</w:t>
      </w:r>
    </w:p>
    <w:p>
      <w:pPr>
        <w:pStyle w:val="Normal"/>
        <w:ind w:firstLine="567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567"/>
        <w:rPr>
          <w:sz w:val="28"/>
          <w:szCs w:val="28"/>
        </w:rPr>
      </w:pPr>
      <w:r>
        <w:rPr/>
        <w:drawing>
          <wp:inline distT="0" distB="0" distL="0" distR="0">
            <wp:extent cx="3202305" cy="1466850"/>
            <wp:effectExtent l="0" t="0" r="0" b="0"/>
            <wp:docPr id="1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30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567"/>
        <w:jc w:val="both"/>
        <w:rPr/>
      </w:pPr>
      <w:r>
        <w:rPr>
          <w:sz w:val="28"/>
          <w:szCs w:val="28"/>
        </w:rPr>
        <w:t>На начальной странице указываем Логин и Пароль, после чего нажимаем кнопку «Войти».</w:t>
      </w:r>
    </w:p>
    <w:p>
      <w:pPr>
        <w:pStyle w:val="Normal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940425" cy="2810510"/>
            <wp:effectExtent l="0" t="0" r="0" b="0"/>
            <wp:docPr id="2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jc w:val="both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Поиск по справочнику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Используя поисковую строку ищем инженера по одному из следующих параметров: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навык\опыт (</w:t>
      </w:r>
      <w:r>
        <w:rPr>
          <w:sz w:val="28"/>
          <w:szCs w:val="28"/>
          <w:lang w:val="en-US"/>
        </w:rPr>
        <w:t>CCNA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Cisco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>, СХД и т.д.)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названию подразделения (1522-1; Отдел аутсорсинга и эксплуатации и т.д.)</w:t>
      </w:r>
    </w:p>
    <w:p>
      <w:pPr>
        <w:pStyle w:val="Normal"/>
        <w:ind w:firstLine="709"/>
        <w:jc w:val="both"/>
        <w:rPr/>
      </w:pPr>
      <w:r>
        <w:rPr>
          <w:sz w:val="28"/>
          <w:szCs w:val="28"/>
        </w:rPr>
        <w:t>- фамилии инженера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выполнения поиска, на экране браузера будут выведены результаты совпадений, в порядке загруженности инженеров, в процентном соотношении (от менее загруженных инженеров к более загруженным).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/>
        <w:drawing>
          <wp:inline distT="0" distB="0" distL="0" distR="0">
            <wp:extent cx="5940425" cy="2780665"/>
            <wp:effectExtent l="0" t="0" r="0" b="0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8"/>
        <w:jc w:val="both"/>
        <w:rPr/>
      </w:pPr>
      <w:r>
        <w:rPr>
          <w:sz w:val="28"/>
          <w:szCs w:val="28"/>
        </w:rPr>
        <w:t>Карточку инженера можно развернуть и свернуть, нажав на ФИО.</w:t>
      </w:r>
    </w:p>
    <w:p>
      <w:pPr>
        <w:pStyle w:val="Normal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Если рядом с фамилией Вы видите символ часов, то Вы являетесь сотрудником, чьи рабочие часы учитываются в строгой ежемесячной отчетности и в конце месяца необходимо будет сдать отчет по трудозатратам. Если часы отсутствуют, сдача отчета не требуется, и ссылка на отчет в интерфейсе будет отсутствовать.</w:t>
      </w:r>
    </w:p>
    <w:p>
      <w:pPr>
        <w:pStyle w:val="Normal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br/>
        <w:b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Normal"/>
        <w:ind w:firstLine="708"/>
        <w:jc w:val="both"/>
        <w:rPr/>
      </w:pPr>
      <w:r>
        <w:rPr>
          <w:sz w:val="28"/>
          <w:szCs w:val="28"/>
        </w:rPr>
        <w:t>В карточке инженера присутствуют кнопки редактирования и удаления карточки. Данный функционал доступен только разработчику системы (Умарова Германа). Поэтому если у Вас возникли замечания по информации, отображенной в своей карточке, появился новый опыт и навыки, просьба обращаться к разработчику системы.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6140450" cy="2016125"/>
            <wp:effectExtent l="0" t="0" r="0" b="0"/>
            <wp:docPr id="4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Привлечение инженерных ресурсов</w:t>
      </w:r>
    </w:p>
    <w:p>
      <w:pPr>
        <w:pStyle w:val="Normal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привлечения инженерных ресурсов, необходимо нажать на кнопку в виде «Календаря», под карточкой инженера.</w:t>
      </w:r>
    </w:p>
    <w:p>
      <w:pPr>
        <w:pStyle w:val="Normal"/>
        <w:ind w:firstLine="567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6140450" cy="2016125"/>
            <wp:effectExtent l="0" t="0" r="0" b="0"/>
            <wp:docPr id="5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8"/>
        <w:jc w:val="both"/>
        <w:rPr/>
      </w:pPr>
      <w:r>
        <w:rPr>
          <w:sz w:val="28"/>
          <w:szCs w:val="28"/>
        </w:rPr>
        <w:t xml:space="preserve">В открывшемся интерфейсе, есть временная шкала, на которой отображены текущие задачи, выполняемые инженером, в том числе список заявок из </w:t>
      </w:r>
      <w:r>
        <w:rPr>
          <w:sz w:val="28"/>
          <w:szCs w:val="28"/>
          <w:lang w:val="en-US"/>
        </w:rPr>
        <w:t>Remedy</w:t>
      </w:r>
      <w:r>
        <w:rPr>
          <w:sz w:val="28"/>
          <w:szCs w:val="28"/>
        </w:rPr>
        <w:t>, Jira которые назначены и выполняются инженером в данный момент (данные из внешних систем обновляются каждый час). Таймлайн выполнен в формате недели и по умолчанию отображает задачи начинающиеся или заканчивающиеся в течении 7 дней от текущего времени.</w:t>
      </w:r>
    </w:p>
    <w:p>
      <w:pPr>
        <w:pStyle w:val="Normal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2792730"/>
            <wp:effectExtent l="0" t="0" r="0" b="0"/>
            <wp:docPr id="6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изменения отображаемого временного интервала на таймлайне, необходимо задать интересующий временной отрезок дат в поле «Временная шкала задач» и нажать на кнопку под полями дат: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если заданы дата начала и дата окончания - в таймлайн попадают задачи, начинающиеся и заканчивающиеся в указанный диапазон времени;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если задана дата начала - в таймлайн попадают задачи, начинающиеся в указанную дату или позже;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если задана дата окончания - в таймлайн попадают задачи закончившиеся до указанной даты.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же можно использовать функцию «прокрутки» наведя курсор на таймлайн и использую колесо мышки или тачпад изменяя масштаб отображаемых дат или зажав левую клавишу мыши, можно прокручивать таймлайн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940425" cy="2491740"/>
            <wp:effectExtent l="0" t="0" r="0" b="0"/>
            <wp:docPr id="7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10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8"/>
        <w:jc w:val="both"/>
        <w:rPr/>
      </w:pPr>
      <w:r>
        <w:rPr>
          <w:sz w:val="28"/>
          <w:szCs w:val="28"/>
        </w:rPr>
        <w:t>Удаление задачи доступно только разработчику системы (Умаров Герман). В случае возникновения такой необходимости, просьба обращаться к нему напрямую.</w:t>
      </w:r>
    </w:p>
    <w:p>
      <w:pPr>
        <w:pStyle w:val="Normal"/>
        <w:ind w:firstLine="708"/>
        <w:jc w:val="both"/>
        <w:rPr/>
      </w:pPr>
      <w:r>
        <w:rPr>
          <w:sz w:val="28"/>
          <w:szCs w:val="28"/>
        </w:rPr>
        <w:t xml:space="preserve">Ниже показан интерфейс постановки задачи инженеру, в котором необходимо кратко описать задачу, выбрать в каком формате происходит постановка задачи: на конкретное время или в процентном соотношении от его рабочего времени (с 10 до 19, начало задачи в этом случае устанавливается по умолчанию на 10:00). Также доступен вариант повторяемости события: ежедневно, еженедельно, ежемесячно, без повторений. Обязательно указываем по какой компании будут выполняться работы и в рамках какого договора. Если работы производится внутри компании, указываем </w:t>
      </w:r>
      <w:r>
        <w:rPr>
          <w:sz w:val="28"/>
          <w:szCs w:val="28"/>
          <w:lang w:val="en-US"/>
        </w:rPr>
        <w:t>Step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Logic</w:t>
      </w:r>
      <w:r>
        <w:rPr>
          <w:sz w:val="28"/>
          <w:szCs w:val="28"/>
        </w:rPr>
        <w:t xml:space="preserve">, в поле договор заполняем: кратко описываем по какой задаче или системе производятся работы (например, </w:t>
      </w:r>
      <w:r>
        <w:rPr>
          <w:sz w:val="28"/>
          <w:szCs w:val="28"/>
          <w:lang w:val="en-US"/>
        </w:rPr>
        <w:t>Remedy</w:t>
      </w:r>
      <w:r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erm</w:t>
      </w:r>
      <w:r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ML</w:t>
      </w:r>
      <w:r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Zabbix</w:t>
      </w:r>
      <w:r>
        <w:rPr>
          <w:sz w:val="28"/>
          <w:szCs w:val="28"/>
        </w:rPr>
        <w:t xml:space="preserve"> и т.д.). Если договор на момент создания задачи не известен, указываем причину: нет договора, разовое обращение, не сообщил фокус-менеджер, в крайнем случае указываем Фамилию лица, поставившего задачу.</w:t>
      </w:r>
    </w:p>
    <w:p>
      <w:pPr>
        <w:pStyle w:val="Normal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После заполнения всех полей, необходимо подтвердить действие нажав на кнопку: «Добавить событие в календарь».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940425" cy="2802255"/>
            <wp:effectExtent l="0" t="0" r="0" b="0"/>
            <wp:docPr id="8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После этого, инженеру поступит смс-оповещение о добавлении ему новой задачи, также она будет добавлена в его таймлайн.</w:t>
      </w:r>
    </w:p>
    <w:p>
      <w:pPr>
        <w:pStyle w:val="Normal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1358900" cy="2499360"/>
            <wp:effectExtent l="0" t="0" r="0" b="0"/>
            <wp:docPr id="9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  <w:r>
        <w:br w:type="page"/>
      </w:r>
    </w:p>
    <w:p>
      <w:pPr>
        <w:pStyle w:val="Normal"/>
        <w:ind w:firstLine="708"/>
        <w:rPr/>
      </w:pPr>
      <w:r>
        <w:rPr>
          <w:b/>
          <w:sz w:val="28"/>
          <w:szCs w:val="28"/>
        </w:rPr>
        <w:t>Заполнение отчета по трудозатратам за прошедший месяц</w:t>
      </w:r>
    </w:p>
    <w:p>
      <w:pPr>
        <w:pStyle w:val="Normal"/>
        <w:ind w:firstLine="708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259" w:before="0" w:after="160"/>
        <w:ind w:firstLine="709"/>
        <w:jc w:val="both"/>
        <w:rPr/>
      </w:pPr>
      <w:r>
        <w:rPr>
          <w:sz w:val="28"/>
          <w:szCs w:val="28"/>
        </w:rPr>
        <w:t>В интерфейсе трекера реализована возможность сдачи отчета по трудозатратам за прошедший месяц. Для перехода в интерфейс сдачи отчета необходимо нажать на соответствующую кнопку:</w:t>
      </w:r>
    </w:p>
    <w:p>
      <w:pPr>
        <w:pStyle w:val="Normal"/>
        <w:spacing w:lineRule="auto" w:line="259" w:before="0" w:after="160"/>
        <w:rPr>
          <w:sz w:val="28"/>
          <w:szCs w:val="28"/>
        </w:rPr>
      </w:pPr>
      <w:r>
        <w:rPr/>
        <w:drawing>
          <wp:inline distT="0" distB="0" distL="0" distR="0">
            <wp:extent cx="5940425" cy="2712720"/>
            <wp:effectExtent l="0" t="0" r="0" b="0"/>
            <wp:docPr id="1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0" b="2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ind w:firstLine="709"/>
        <w:jc w:val="both"/>
        <w:rPr/>
      </w:pPr>
      <w:r>
        <w:rPr>
          <w:sz w:val="28"/>
          <w:szCs w:val="28"/>
        </w:rPr>
        <w:t xml:space="preserve">После нажатия кнопки, вы перейдете в интерфейс отчетности. В нем уже будут отражены задачи, выполненные вами в системах </w:t>
      </w:r>
      <w:r>
        <w:rPr>
          <w:sz w:val="28"/>
          <w:szCs w:val="28"/>
          <w:lang w:val="en-US"/>
        </w:rPr>
        <w:t>Remedy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JIRA</w:t>
      </w:r>
      <w:r>
        <w:rPr>
          <w:sz w:val="28"/>
          <w:szCs w:val="28"/>
        </w:rPr>
        <w:t xml:space="preserve"> и Трекере за прошедший месяц, с указанием длительности задачи. Длительность переносится в суммарные трудозатраты по договору как есть (на данный момент без учета выходных, статусов инцидентов и задач) и в некоторых случаях требует Вашей корректировки.</w:t>
      </w:r>
    </w:p>
    <w:p>
      <w:pPr>
        <w:pStyle w:val="Normal"/>
        <w:spacing w:lineRule="auto" w:line="259" w:before="0" w:after="160"/>
        <w:rPr>
          <w:sz w:val="28"/>
          <w:szCs w:val="28"/>
        </w:rPr>
      </w:pPr>
      <w:r>
        <w:rPr/>
        <w:drawing>
          <wp:inline distT="0" distB="0" distL="0" distR="0">
            <wp:extent cx="5940425" cy="2664460"/>
            <wp:effectExtent l="0" t="0" r="0" b="0"/>
            <wp:docPr id="1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59" w:before="0" w:after="160"/>
        <w:ind w:firstLine="709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59" w:before="0" w:after="160"/>
        <w:ind w:firstLine="709"/>
        <w:rPr/>
      </w:pPr>
      <w:r>
        <w:rPr>
          <w:sz w:val="28"/>
          <w:szCs w:val="28"/>
        </w:rPr>
        <w:t>Редактирование трудозатрат по договорам и пред настроенным статьям доступно в таблице ниже:</w:t>
      </w:r>
    </w:p>
    <w:p>
      <w:pPr>
        <w:pStyle w:val="Normal"/>
        <w:spacing w:lineRule="auto" w:line="259" w:before="0" w:after="1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2819400"/>
            <wp:effectExtent l="0" t="0" r="0" b="0"/>
            <wp:docPr id="1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в перечне задач отсутствует какая-либо задача, выполненная вами за указанный в отчете период, ее необходимо завести в момент заполнения отчета. Для этого необходимо перейти в интерфейс привлечения инженерных ресурсов. Для этого</w:t>
      </w:r>
      <w:bookmarkStart w:id="0" w:name="_GoBack"/>
      <w:bookmarkEnd w:id="0"/>
      <w:r>
        <w:rPr>
          <w:sz w:val="28"/>
          <w:szCs w:val="28"/>
        </w:rPr>
        <w:t xml:space="preserve"> можно нажать на свою ФИО в верхнем меню интерфейса или непосредственно в меню отчетности и сразу откроется интерфейс постановки задачи</w:t>
      </w:r>
    </w:p>
    <w:p>
      <w:pPr>
        <w:pStyle w:val="Normal"/>
        <w:spacing w:lineRule="auto" w:line="259" w:before="0" w:after="160"/>
        <w:rPr>
          <w:sz w:val="28"/>
          <w:szCs w:val="28"/>
        </w:rPr>
      </w:pPr>
      <w:r>
        <w:rPr/>
        <w:drawing>
          <wp:inline distT="0" distB="0" distL="0" distR="3175">
            <wp:extent cx="5940425" cy="2878455"/>
            <wp:effectExtent l="0" t="0" r="0" b="0"/>
            <wp:docPr id="1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ind w:firstLine="709"/>
        <w:jc w:val="both"/>
        <w:rPr/>
      </w:pPr>
      <w:r>
        <w:rPr>
          <w:sz w:val="28"/>
          <w:szCs w:val="28"/>
        </w:rPr>
        <w:t>После добавления новой задачи обновите страницу отчетности - строчка с последней добавленной задачей будет подсвечена красным цветом (</w:t>
      </w:r>
      <w:r>
        <w:rPr>
          <w:color w:val="000000"/>
          <w:sz w:val="28"/>
          <w:szCs w:val="28"/>
        </w:rPr>
        <w:t>желтым цветом выделяются статьи трудозатрат, которые были отредактированы и сохранены</w:t>
      </w:r>
      <w:r>
        <w:rPr>
          <w:sz w:val="28"/>
          <w:szCs w:val="28"/>
        </w:rPr>
        <w:t>). Проведенные изменения необходимо сохранить.</w:t>
      </w:r>
    </w:p>
    <w:p>
      <w:pPr>
        <w:pStyle w:val="Normal"/>
        <w:spacing w:lineRule="auto" w:line="259" w:before="0" w:after="160"/>
        <w:rPr>
          <w:b/>
          <w:b/>
          <w:sz w:val="28"/>
          <w:szCs w:val="28"/>
        </w:rPr>
      </w:pPr>
      <w:r>
        <w:rPr/>
        <w:drawing>
          <wp:inline distT="0" distB="0" distL="0" distR="0">
            <wp:extent cx="5940425" cy="2510155"/>
            <wp:effectExtent l="0" t="0" r="0" b="0"/>
            <wp:docPr id="1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1083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259" w:before="0" w:after="16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259" w:before="0" w:after="160"/>
        <w:jc w:val="center"/>
        <w:rPr>
          <w:b/>
          <w:b/>
          <w:sz w:val="28"/>
          <w:szCs w:val="28"/>
        </w:rPr>
      </w:pPr>
      <w:r>
        <w:rPr/>
        <w:drawing>
          <wp:inline distT="0" distB="0" distL="0" distR="0">
            <wp:extent cx="3543300" cy="3221990"/>
            <wp:effectExtent l="0" t="0" r="0" b="0"/>
            <wp:docPr id="1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Обращаем внимание на то, что нет необходимости сдавать фиксированное количество часов каждый месяц как раньше. Списывать необходимо фактически затраченные часы. </w:t>
      </w:r>
    </w:p>
    <w:p>
      <w:pPr>
        <w:pStyle w:val="Normal"/>
        <w:spacing w:lineRule="auto" w:line="259" w:before="0" w:after="160"/>
        <w:ind w:firstLine="709"/>
        <w:rPr>
          <w:sz w:val="28"/>
          <w:szCs w:val="28"/>
        </w:rPr>
      </w:pPr>
      <w:r>
        <w:rPr>
          <w:sz w:val="28"/>
          <w:szCs w:val="28"/>
        </w:rPr>
        <w:t>После того как будут указаны необходимые трудозатраты, нажимаем на оранжевую кнопку – сохранить и сдать отчет.</w:t>
      </w:r>
    </w:p>
    <w:p>
      <w:pPr>
        <w:pStyle w:val="Normal"/>
        <w:spacing w:lineRule="auto" w:line="259" w:before="0" w:after="160"/>
        <w:ind w:firstLine="709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59" w:before="0" w:after="160"/>
        <w:ind w:firstLine="709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59" w:before="0" w:after="160"/>
        <w:ind w:firstLine="709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59" w:before="0" w:after="160"/>
        <w:ind w:firstLine="709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59" w:before="0" w:after="160"/>
        <w:ind w:firstLine="709"/>
        <w:rPr/>
      </w:pPr>
      <w:r>
        <w:rPr>
          <w:sz w:val="28"/>
          <w:szCs w:val="28"/>
        </w:rPr>
        <w:t>При успешной сдаче отчета всплывет соответствующее подтверждение:</w:t>
      </w:r>
    </w:p>
    <w:p>
      <w:pPr>
        <w:pStyle w:val="Normal"/>
        <w:spacing w:lineRule="auto" w:line="259" w:before="0" w:after="160"/>
        <w:jc w:val="center"/>
        <w:rPr>
          <w:sz w:val="28"/>
          <w:szCs w:val="28"/>
        </w:rPr>
      </w:pPr>
      <w:r>
        <w:rPr/>
        <w:drawing>
          <wp:inline distT="0" distB="0" distL="0" distR="3175">
            <wp:extent cx="5940425" cy="2882900"/>
            <wp:effectExtent l="0" t="0" r="0" b="0"/>
            <wp:docPr id="1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Style w:val="af2"/>
        <w:tblW w:w="934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9345"/>
      </w:tblGrid>
      <w:tr>
        <w:trPr>
          <w:trHeight w:val="354" w:hRule="atLeast"/>
        </w:trPr>
        <w:tc>
          <w:tcPr>
            <w:tcW w:w="9345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Планируемые изменения</w:t>
            </w:r>
          </w:p>
        </w:tc>
      </w:tr>
      <w:tr>
        <w:trPr/>
        <w:tc>
          <w:tcPr>
            <w:tcW w:w="9345" w:type="dxa"/>
            <w:tcBorders/>
            <w:shd w:color="auto" w:fill="auto" w:val="clear"/>
          </w:tcPr>
          <w:p>
            <w:pPr>
              <w:pStyle w:val="ListParagraph"/>
              <w:numPr>
                <w:ilvl w:val="0"/>
                <w:numId w:val="2"/>
              </w:numPr>
              <w:spacing w:lineRule="auto" w:line="240" w:before="0" w:after="0"/>
              <w:contextualSpacing/>
              <w:rPr/>
            </w:pPr>
            <w:r>
              <w:rPr>
                <w:sz w:val="28"/>
                <w:szCs w:val="28"/>
              </w:rPr>
              <w:t>Интеграция с Basecamp для группы работающей с РТК</w:t>
            </w:r>
          </w:p>
          <w:p>
            <w:pPr>
              <w:pStyle w:val="ListParagraph"/>
              <w:numPr>
                <w:ilvl w:val="0"/>
                <w:numId w:val="2"/>
              </w:numPr>
              <w:spacing w:lineRule="auto" w:line="240" w:before="0" w:after="0"/>
              <w:contextualSpacing/>
              <w:rPr/>
            </w:pPr>
            <w:r>
              <w:rPr>
                <w:sz w:val="28"/>
                <w:szCs w:val="28"/>
              </w:rPr>
              <w:t>Улучшение автоматизированного расчета трудозатрат - с учетом выходных дней, отпусков</w:t>
            </w:r>
          </w:p>
        </w:tc>
      </w:tr>
    </w:tbl>
    <w:p>
      <w:pPr>
        <w:pStyle w:val="Normal"/>
        <w:ind w:firstLine="708"/>
        <w:jc w:val="center"/>
        <w:rPr/>
      </w:pPr>
      <w:r>
        <w:rPr/>
      </w:r>
    </w:p>
    <w:sectPr>
      <w:footerReference w:type="default" r:id="rId18"/>
      <w:type w:val="nextPage"/>
      <w:pgSz w:w="11906" w:h="16838"/>
      <w:pgMar w:left="1701" w:right="850" w:header="0" w:top="1134" w:footer="708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722152723"/>
    </w:sdtPr>
    <w:sdtContent>
      <w:p>
        <w:pPr>
          <w:pStyle w:val="Footer"/>
          <w:jc w:val="center"/>
          <w:rPr/>
        </w:pP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> PAGE </w:instrText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11</w:t>
        </w:r>
        <w:r>
          <w:rPr>
            <w:sz w:val="24"/>
            <w:szCs w:val="24"/>
          </w:rPr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124a4"/>
    <w:pPr>
      <w:widowControl/>
      <w:bidi w:val="0"/>
      <w:jc w:val="left"/>
    </w:pPr>
    <w:rPr>
      <w:rFonts w:ascii="Times New Roman" w:hAnsi="Times New Roman" w:cs="Times New Roman" w:eastAsia="Calibri" w:eastAsiaTheme="minorHAnsi"/>
      <w:color w:val="auto"/>
      <w:kern w:val="0"/>
      <w:sz w:val="24"/>
      <w:szCs w:val="24"/>
      <w:lang w:eastAsia="ru-RU" w:val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 w:customStyle="1">
    <w:name w:val="Internet Link"/>
    <w:basedOn w:val="DefaultParagraphFont"/>
    <w:uiPriority w:val="99"/>
    <w:unhideWhenUsed/>
    <w:rsid w:val="00ff5f1a"/>
    <w:rPr>
      <w:color w:val="0563C1" w:themeColor="hyperlink"/>
      <w:u w:val="single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c2121f"/>
    <w:rPr>
      <w:sz w:val="16"/>
      <w:szCs w:val="16"/>
    </w:rPr>
  </w:style>
  <w:style w:type="character" w:styleId="Style14" w:customStyle="1">
    <w:name w:val="Текст примечания Знак"/>
    <w:basedOn w:val="DefaultParagraphFont"/>
    <w:uiPriority w:val="99"/>
    <w:semiHidden/>
    <w:qFormat/>
    <w:rsid w:val="00c2121f"/>
    <w:rPr>
      <w:sz w:val="20"/>
      <w:szCs w:val="20"/>
    </w:rPr>
  </w:style>
  <w:style w:type="character" w:styleId="Style15" w:customStyle="1">
    <w:name w:val="Тема примечания Знак"/>
    <w:basedOn w:val="Style14"/>
    <w:uiPriority w:val="99"/>
    <w:semiHidden/>
    <w:qFormat/>
    <w:rsid w:val="00c2121f"/>
    <w:rPr>
      <w:b/>
      <w:bCs/>
      <w:sz w:val="20"/>
      <w:szCs w:val="20"/>
    </w:rPr>
  </w:style>
  <w:style w:type="character" w:styleId="Style16" w:customStyle="1">
    <w:name w:val="Текст выноски Знак"/>
    <w:basedOn w:val="DefaultParagraphFont"/>
    <w:uiPriority w:val="99"/>
    <w:semiHidden/>
    <w:qFormat/>
    <w:rsid w:val="00c2121f"/>
    <w:rPr>
      <w:rFonts w:ascii="Segoe UI" w:hAnsi="Segoe UI" w:cs="Segoe UI"/>
      <w:sz w:val="18"/>
      <w:szCs w:val="18"/>
    </w:rPr>
  </w:style>
  <w:style w:type="character" w:styleId="Style17" w:customStyle="1">
    <w:name w:val="Верхний колонтитул Знак"/>
    <w:basedOn w:val="DefaultParagraphFont"/>
    <w:uiPriority w:val="99"/>
    <w:qFormat/>
    <w:rsid w:val="004b6563"/>
    <w:rPr/>
  </w:style>
  <w:style w:type="character" w:styleId="Style18" w:customStyle="1">
    <w:name w:val="Нижний колонтитул Знак"/>
    <w:basedOn w:val="DefaultParagraphFont"/>
    <w:uiPriority w:val="99"/>
    <w:qFormat/>
    <w:rsid w:val="004b6563"/>
    <w:rPr/>
  </w:style>
  <w:style w:type="character" w:styleId="ListLabel1" w:customStyle="1">
    <w:name w:val="ListLabel 1"/>
    <w:qFormat/>
    <w:rPr>
      <w:rFonts w:cs="Courier New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rFonts w:cs="Courier New"/>
    </w:rPr>
  </w:style>
  <w:style w:type="character" w:styleId="ListLabel5" w:customStyle="1">
    <w:name w:val="ListLabel 5"/>
    <w:qFormat/>
    <w:rPr>
      <w:rFonts w:cs="Courier New"/>
    </w:rPr>
  </w:style>
  <w:style w:type="character" w:styleId="ListLabel6" w:customStyle="1">
    <w:name w:val="ListLabel 6"/>
    <w:qFormat/>
    <w:rPr>
      <w:rFonts w:cs="Courier New"/>
    </w:rPr>
  </w:style>
  <w:style w:type="character" w:styleId="ListLabel7" w:customStyle="1">
    <w:name w:val="ListLabel 7"/>
    <w:qFormat/>
    <w:rPr>
      <w:rFonts w:cs="Courier New"/>
    </w:rPr>
  </w:style>
  <w:style w:type="character" w:styleId="ListLabel8" w:customStyle="1">
    <w:name w:val="ListLabel 8"/>
    <w:qFormat/>
    <w:rPr>
      <w:rFonts w:cs="Courier New"/>
    </w:rPr>
  </w:style>
  <w:style w:type="character" w:styleId="ListLabel9" w:customStyle="1">
    <w:name w:val="ListLabel 9"/>
    <w:qFormat/>
    <w:rPr>
      <w:rFonts w:cs="Courier New"/>
    </w:rPr>
  </w:style>
  <w:style w:type="character" w:styleId="ListLabel10" w:customStyle="1">
    <w:name w:val="ListLabel 10"/>
    <w:qFormat/>
    <w:rPr>
      <w:rFonts w:cs="Courier New"/>
    </w:rPr>
  </w:style>
  <w:style w:type="character" w:styleId="ListLabel11" w:customStyle="1">
    <w:name w:val="ListLabel 11"/>
    <w:qFormat/>
    <w:rPr>
      <w:rFonts w:cs="Courier New"/>
    </w:rPr>
  </w:style>
  <w:style w:type="character" w:styleId="ListLabel12" w:customStyle="1">
    <w:name w:val="ListLabel 12"/>
    <w:qFormat/>
    <w:rPr>
      <w:rFonts w:cs="Courier New"/>
    </w:rPr>
  </w:style>
  <w:style w:type="character" w:styleId="ListLabel13" w:customStyle="1">
    <w:name w:val="ListLabel 13"/>
    <w:qFormat/>
    <w:rPr>
      <w:sz w:val="28"/>
      <w:szCs w:val="28"/>
    </w:rPr>
  </w:style>
  <w:style w:type="character" w:styleId="ListLabel14" w:customStyle="1">
    <w:name w:val="ListLabel 14"/>
    <w:qFormat/>
    <w:rPr>
      <w:rFonts w:ascii="Times New Roman" w:hAnsi="Times New Roman" w:cs="Symbol"/>
      <w:sz w:val="28"/>
    </w:rPr>
  </w:style>
  <w:style w:type="character" w:styleId="ListLabel15" w:customStyle="1">
    <w:name w:val="ListLabel 15"/>
    <w:qFormat/>
    <w:rPr>
      <w:rFonts w:cs="Courier New"/>
    </w:rPr>
  </w:style>
  <w:style w:type="character" w:styleId="ListLabel16" w:customStyle="1">
    <w:name w:val="ListLabel 16"/>
    <w:qFormat/>
    <w:rPr>
      <w:rFonts w:cs="Wingdings"/>
    </w:rPr>
  </w:style>
  <w:style w:type="character" w:styleId="ListLabel17" w:customStyle="1">
    <w:name w:val="ListLabel 17"/>
    <w:qFormat/>
    <w:rPr>
      <w:rFonts w:cs="Symbol"/>
    </w:rPr>
  </w:style>
  <w:style w:type="character" w:styleId="ListLabel18" w:customStyle="1">
    <w:name w:val="ListLabel 18"/>
    <w:qFormat/>
    <w:rPr>
      <w:rFonts w:cs="Courier New"/>
    </w:rPr>
  </w:style>
  <w:style w:type="character" w:styleId="ListLabel19" w:customStyle="1">
    <w:name w:val="ListLabel 19"/>
    <w:qFormat/>
    <w:rPr>
      <w:rFonts w:cs="Wingdings"/>
    </w:rPr>
  </w:style>
  <w:style w:type="character" w:styleId="ListLabel20" w:customStyle="1">
    <w:name w:val="ListLabel 20"/>
    <w:qFormat/>
    <w:rPr>
      <w:rFonts w:cs="Symbol"/>
    </w:rPr>
  </w:style>
  <w:style w:type="character" w:styleId="ListLabel21" w:customStyle="1">
    <w:name w:val="ListLabel 21"/>
    <w:qFormat/>
    <w:rPr>
      <w:rFonts w:cs="Courier New"/>
    </w:rPr>
  </w:style>
  <w:style w:type="character" w:styleId="ListLabel22" w:customStyle="1">
    <w:name w:val="ListLabel 22"/>
    <w:qFormat/>
    <w:rPr>
      <w:rFonts w:cs="Wingdings"/>
    </w:rPr>
  </w:style>
  <w:style w:type="character" w:styleId="ListLabel23" w:customStyle="1">
    <w:name w:val="ListLabel 23"/>
    <w:qFormat/>
    <w:rPr>
      <w:rFonts w:ascii="Times New Roman" w:hAnsi="Times New Roman" w:cs="Symbol"/>
      <w:sz w:val="28"/>
    </w:rPr>
  </w:style>
  <w:style w:type="character" w:styleId="ListLabel24" w:customStyle="1">
    <w:name w:val="ListLabel 24"/>
    <w:qFormat/>
    <w:rPr>
      <w:rFonts w:cs="Courier New"/>
    </w:rPr>
  </w:style>
  <w:style w:type="character" w:styleId="ListLabel25" w:customStyle="1">
    <w:name w:val="ListLabel 25"/>
    <w:qFormat/>
    <w:rPr>
      <w:rFonts w:cs="Wingdings"/>
    </w:rPr>
  </w:style>
  <w:style w:type="character" w:styleId="ListLabel26" w:customStyle="1">
    <w:name w:val="ListLabel 26"/>
    <w:qFormat/>
    <w:rPr>
      <w:rFonts w:cs="Symbol"/>
    </w:rPr>
  </w:style>
  <w:style w:type="character" w:styleId="ListLabel27" w:customStyle="1">
    <w:name w:val="ListLabel 27"/>
    <w:qFormat/>
    <w:rPr>
      <w:rFonts w:cs="Courier New"/>
    </w:rPr>
  </w:style>
  <w:style w:type="character" w:styleId="ListLabel28" w:customStyle="1">
    <w:name w:val="ListLabel 28"/>
    <w:qFormat/>
    <w:rPr>
      <w:rFonts w:cs="Wingdings"/>
    </w:rPr>
  </w:style>
  <w:style w:type="character" w:styleId="ListLabel29" w:customStyle="1">
    <w:name w:val="ListLabel 29"/>
    <w:qFormat/>
    <w:rPr>
      <w:rFonts w:cs="Symbol"/>
    </w:rPr>
  </w:style>
  <w:style w:type="character" w:styleId="ListLabel30" w:customStyle="1">
    <w:name w:val="ListLabel 30"/>
    <w:qFormat/>
    <w:rPr>
      <w:rFonts w:cs="Courier New"/>
    </w:rPr>
  </w:style>
  <w:style w:type="character" w:styleId="ListLabel31" w:customStyle="1">
    <w:name w:val="ListLabel 31"/>
    <w:qFormat/>
    <w:rPr>
      <w:rFonts w:cs="Wingdings"/>
    </w:rPr>
  </w:style>
  <w:style w:type="character" w:styleId="ListLabel32" w:customStyle="1">
    <w:name w:val="ListLabel 32"/>
    <w:qFormat/>
    <w:rPr>
      <w:rFonts w:ascii="Times New Roman" w:hAnsi="Times New Roman" w:cs="Symbol"/>
      <w:sz w:val="28"/>
    </w:rPr>
  </w:style>
  <w:style w:type="character" w:styleId="ListLabel33" w:customStyle="1">
    <w:name w:val="ListLabel 33"/>
    <w:qFormat/>
    <w:rPr>
      <w:rFonts w:cs="Courier New"/>
    </w:rPr>
  </w:style>
  <w:style w:type="character" w:styleId="ListLabel34" w:customStyle="1">
    <w:name w:val="ListLabel 34"/>
    <w:qFormat/>
    <w:rPr>
      <w:rFonts w:cs="Wingdings"/>
    </w:rPr>
  </w:style>
  <w:style w:type="character" w:styleId="ListLabel35" w:customStyle="1">
    <w:name w:val="ListLabel 35"/>
    <w:qFormat/>
    <w:rPr>
      <w:rFonts w:cs="Symbol"/>
    </w:rPr>
  </w:style>
  <w:style w:type="character" w:styleId="ListLabel36" w:customStyle="1">
    <w:name w:val="ListLabel 36"/>
    <w:qFormat/>
    <w:rPr>
      <w:rFonts w:cs="Courier New"/>
    </w:rPr>
  </w:style>
  <w:style w:type="character" w:styleId="ListLabel37" w:customStyle="1">
    <w:name w:val="ListLabel 37"/>
    <w:qFormat/>
    <w:rPr>
      <w:rFonts w:cs="Wingdings"/>
    </w:rPr>
  </w:style>
  <w:style w:type="character" w:styleId="ListLabel38" w:customStyle="1">
    <w:name w:val="ListLabel 38"/>
    <w:qFormat/>
    <w:rPr>
      <w:rFonts w:cs="Symbol"/>
    </w:rPr>
  </w:style>
  <w:style w:type="character" w:styleId="ListLabel39" w:customStyle="1">
    <w:name w:val="ListLabel 39"/>
    <w:qFormat/>
    <w:rPr>
      <w:rFonts w:cs="Courier New"/>
    </w:rPr>
  </w:style>
  <w:style w:type="character" w:styleId="ListLabel40" w:customStyle="1">
    <w:name w:val="ListLabel 40"/>
    <w:qFormat/>
    <w:rPr>
      <w:rFonts w:cs="Wingdings"/>
    </w:rPr>
  </w:style>
  <w:style w:type="character" w:styleId="ListLabel41" w:customStyle="1">
    <w:name w:val="ListLabel 41"/>
    <w:qFormat/>
    <w:rPr>
      <w:rFonts w:cs="Symbol"/>
      <w:sz w:val="28"/>
    </w:rPr>
  </w:style>
  <w:style w:type="character" w:styleId="ListLabel42" w:customStyle="1">
    <w:name w:val="ListLabel 42"/>
    <w:qFormat/>
    <w:rPr>
      <w:rFonts w:cs="Courier New"/>
    </w:rPr>
  </w:style>
  <w:style w:type="character" w:styleId="ListLabel43" w:customStyle="1">
    <w:name w:val="ListLabel 43"/>
    <w:qFormat/>
    <w:rPr>
      <w:rFonts w:cs="Wingdings"/>
    </w:rPr>
  </w:style>
  <w:style w:type="character" w:styleId="ListLabel44" w:customStyle="1">
    <w:name w:val="ListLabel 44"/>
    <w:qFormat/>
    <w:rPr>
      <w:rFonts w:cs="Symbol"/>
    </w:rPr>
  </w:style>
  <w:style w:type="character" w:styleId="ListLabel45" w:customStyle="1">
    <w:name w:val="ListLabel 45"/>
    <w:qFormat/>
    <w:rPr>
      <w:rFonts w:cs="Courier New"/>
    </w:rPr>
  </w:style>
  <w:style w:type="character" w:styleId="ListLabel46" w:customStyle="1">
    <w:name w:val="ListLabel 46"/>
    <w:qFormat/>
    <w:rPr>
      <w:rFonts w:cs="Wingdings"/>
    </w:rPr>
  </w:style>
  <w:style w:type="character" w:styleId="ListLabel47" w:customStyle="1">
    <w:name w:val="ListLabel 47"/>
    <w:qFormat/>
    <w:rPr>
      <w:rFonts w:cs="Symbol"/>
    </w:rPr>
  </w:style>
  <w:style w:type="character" w:styleId="ListLabel48" w:customStyle="1">
    <w:name w:val="ListLabel 48"/>
    <w:qFormat/>
    <w:rPr>
      <w:rFonts w:cs="Courier New"/>
    </w:rPr>
  </w:style>
  <w:style w:type="character" w:styleId="ListLabel49" w:customStyle="1">
    <w:name w:val="ListLabel 49"/>
    <w:qFormat/>
    <w:rPr>
      <w:rFonts w:cs="Wingdings"/>
    </w:rPr>
  </w:style>
  <w:style w:type="character" w:styleId="ListLabel50" w:customStyle="1">
    <w:name w:val="ListLabel 50"/>
    <w:qFormat/>
    <w:rPr>
      <w:sz w:val="28"/>
      <w:szCs w:val="28"/>
    </w:rPr>
  </w:style>
  <w:style w:type="character" w:styleId="ListLabel51" w:customStyle="1">
    <w:name w:val="ListLabel 51"/>
    <w:qFormat/>
    <w:rPr>
      <w:rFonts w:ascii="Times New Roman" w:hAnsi="Times New Roman" w:cs="Symbol"/>
      <w:sz w:val="28"/>
    </w:rPr>
  </w:style>
  <w:style w:type="character" w:styleId="ListLabel52" w:customStyle="1">
    <w:name w:val="ListLabel 52"/>
    <w:qFormat/>
    <w:rPr>
      <w:rFonts w:cs="Courier New"/>
    </w:rPr>
  </w:style>
  <w:style w:type="character" w:styleId="ListLabel53" w:customStyle="1">
    <w:name w:val="ListLabel 53"/>
    <w:qFormat/>
    <w:rPr>
      <w:rFonts w:cs="Wingdings"/>
    </w:rPr>
  </w:style>
  <w:style w:type="character" w:styleId="ListLabel54" w:customStyle="1">
    <w:name w:val="ListLabel 54"/>
    <w:qFormat/>
    <w:rPr>
      <w:rFonts w:cs="Symbol"/>
    </w:rPr>
  </w:style>
  <w:style w:type="character" w:styleId="ListLabel55" w:customStyle="1">
    <w:name w:val="ListLabel 55"/>
    <w:qFormat/>
    <w:rPr>
      <w:rFonts w:cs="Courier New"/>
    </w:rPr>
  </w:style>
  <w:style w:type="character" w:styleId="ListLabel56" w:customStyle="1">
    <w:name w:val="ListLabel 56"/>
    <w:qFormat/>
    <w:rPr>
      <w:rFonts w:cs="Wingdings"/>
    </w:rPr>
  </w:style>
  <w:style w:type="character" w:styleId="ListLabel57" w:customStyle="1">
    <w:name w:val="ListLabel 57"/>
    <w:qFormat/>
    <w:rPr>
      <w:rFonts w:cs="Symbol"/>
    </w:rPr>
  </w:style>
  <w:style w:type="character" w:styleId="ListLabel58" w:customStyle="1">
    <w:name w:val="ListLabel 58"/>
    <w:qFormat/>
    <w:rPr>
      <w:rFonts w:cs="Courier New"/>
    </w:rPr>
  </w:style>
  <w:style w:type="character" w:styleId="ListLabel59" w:customStyle="1">
    <w:name w:val="ListLabel 59"/>
    <w:qFormat/>
    <w:rPr>
      <w:rFonts w:cs="Wingdings"/>
    </w:rPr>
  </w:style>
  <w:style w:type="character" w:styleId="ListLabel60" w:customStyle="1">
    <w:name w:val="ListLabel 60"/>
    <w:qFormat/>
    <w:rPr>
      <w:rFonts w:ascii="Times New Roman" w:hAnsi="Times New Roman" w:cs="Symbol"/>
      <w:sz w:val="28"/>
    </w:rPr>
  </w:style>
  <w:style w:type="character" w:styleId="ListLabel61" w:customStyle="1">
    <w:name w:val="ListLabel 61"/>
    <w:qFormat/>
    <w:rPr>
      <w:rFonts w:cs="Courier New"/>
    </w:rPr>
  </w:style>
  <w:style w:type="character" w:styleId="ListLabel62" w:customStyle="1">
    <w:name w:val="ListLabel 62"/>
    <w:qFormat/>
    <w:rPr>
      <w:rFonts w:cs="Wingdings"/>
    </w:rPr>
  </w:style>
  <w:style w:type="character" w:styleId="ListLabel63" w:customStyle="1">
    <w:name w:val="ListLabel 63"/>
    <w:qFormat/>
    <w:rPr>
      <w:rFonts w:cs="Symbol"/>
    </w:rPr>
  </w:style>
  <w:style w:type="character" w:styleId="ListLabel64" w:customStyle="1">
    <w:name w:val="ListLabel 64"/>
    <w:qFormat/>
    <w:rPr>
      <w:rFonts w:cs="Courier New"/>
    </w:rPr>
  </w:style>
  <w:style w:type="character" w:styleId="ListLabel65" w:customStyle="1">
    <w:name w:val="ListLabel 65"/>
    <w:qFormat/>
    <w:rPr>
      <w:rFonts w:cs="Wingdings"/>
    </w:rPr>
  </w:style>
  <w:style w:type="character" w:styleId="ListLabel66" w:customStyle="1">
    <w:name w:val="ListLabel 66"/>
    <w:qFormat/>
    <w:rPr>
      <w:rFonts w:cs="Symbol"/>
    </w:rPr>
  </w:style>
  <w:style w:type="character" w:styleId="ListLabel67" w:customStyle="1">
    <w:name w:val="ListLabel 67"/>
    <w:qFormat/>
    <w:rPr>
      <w:rFonts w:cs="Courier New"/>
    </w:rPr>
  </w:style>
  <w:style w:type="character" w:styleId="ListLabel68" w:customStyle="1">
    <w:name w:val="ListLabel 68"/>
    <w:qFormat/>
    <w:rPr>
      <w:rFonts w:cs="Wingdings"/>
    </w:rPr>
  </w:style>
  <w:style w:type="character" w:styleId="ListLabel69" w:customStyle="1">
    <w:name w:val="ListLabel 69"/>
    <w:qFormat/>
    <w:rPr>
      <w:rFonts w:ascii="Times New Roman" w:hAnsi="Times New Roman" w:cs="Symbol"/>
      <w:sz w:val="28"/>
    </w:rPr>
  </w:style>
  <w:style w:type="character" w:styleId="ListLabel70" w:customStyle="1">
    <w:name w:val="ListLabel 70"/>
    <w:qFormat/>
    <w:rPr>
      <w:rFonts w:cs="Courier New"/>
    </w:rPr>
  </w:style>
  <w:style w:type="character" w:styleId="ListLabel71" w:customStyle="1">
    <w:name w:val="ListLabel 71"/>
    <w:qFormat/>
    <w:rPr>
      <w:rFonts w:cs="Wingdings"/>
    </w:rPr>
  </w:style>
  <w:style w:type="character" w:styleId="ListLabel72" w:customStyle="1">
    <w:name w:val="ListLabel 72"/>
    <w:qFormat/>
    <w:rPr>
      <w:rFonts w:cs="Symbol"/>
    </w:rPr>
  </w:style>
  <w:style w:type="character" w:styleId="ListLabel73" w:customStyle="1">
    <w:name w:val="ListLabel 73"/>
    <w:qFormat/>
    <w:rPr>
      <w:rFonts w:cs="Courier New"/>
    </w:rPr>
  </w:style>
  <w:style w:type="character" w:styleId="ListLabel74" w:customStyle="1">
    <w:name w:val="ListLabel 74"/>
    <w:qFormat/>
    <w:rPr>
      <w:rFonts w:cs="Wingdings"/>
    </w:rPr>
  </w:style>
  <w:style w:type="character" w:styleId="ListLabel75" w:customStyle="1">
    <w:name w:val="ListLabel 75"/>
    <w:qFormat/>
    <w:rPr>
      <w:rFonts w:cs="Symbol"/>
    </w:rPr>
  </w:style>
  <w:style w:type="character" w:styleId="ListLabel76" w:customStyle="1">
    <w:name w:val="ListLabel 76"/>
    <w:qFormat/>
    <w:rPr>
      <w:rFonts w:cs="Courier New"/>
    </w:rPr>
  </w:style>
  <w:style w:type="character" w:styleId="ListLabel77" w:customStyle="1">
    <w:name w:val="ListLabel 77"/>
    <w:qFormat/>
    <w:rPr>
      <w:rFonts w:cs="Wingdings"/>
    </w:rPr>
  </w:style>
  <w:style w:type="character" w:styleId="ListLabel78" w:customStyle="1">
    <w:name w:val="ListLabel 78"/>
    <w:qFormat/>
    <w:rPr>
      <w:rFonts w:cs="Symbol"/>
      <w:sz w:val="28"/>
    </w:rPr>
  </w:style>
  <w:style w:type="character" w:styleId="ListLabel79" w:customStyle="1">
    <w:name w:val="ListLabel 79"/>
    <w:qFormat/>
    <w:rPr>
      <w:rFonts w:cs="Courier New"/>
    </w:rPr>
  </w:style>
  <w:style w:type="character" w:styleId="ListLabel80" w:customStyle="1">
    <w:name w:val="ListLabel 80"/>
    <w:qFormat/>
    <w:rPr>
      <w:rFonts w:cs="Wingdings"/>
    </w:rPr>
  </w:style>
  <w:style w:type="character" w:styleId="ListLabel81" w:customStyle="1">
    <w:name w:val="ListLabel 81"/>
    <w:qFormat/>
    <w:rPr>
      <w:rFonts w:cs="Symbol"/>
    </w:rPr>
  </w:style>
  <w:style w:type="character" w:styleId="ListLabel82" w:customStyle="1">
    <w:name w:val="ListLabel 82"/>
    <w:qFormat/>
    <w:rPr>
      <w:rFonts w:cs="Courier New"/>
    </w:rPr>
  </w:style>
  <w:style w:type="character" w:styleId="ListLabel83" w:customStyle="1">
    <w:name w:val="ListLabel 83"/>
    <w:qFormat/>
    <w:rPr>
      <w:rFonts w:cs="Wingdings"/>
    </w:rPr>
  </w:style>
  <w:style w:type="character" w:styleId="ListLabel84" w:customStyle="1">
    <w:name w:val="ListLabel 84"/>
    <w:qFormat/>
    <w:rPr>
      <w:rFonts w:cs="Symbol"/>
    </w:rPr>
  </w:style>
  <w:style w:type="character" w:styleId="ListLabel85" w:customStyle="1">
    <w:name w:val="ListLabel 85"/>
    <w:qFormat/>
    <w:rPr>
      <w:rFonts w:cs="Courier New"/>
    </w:rPr>
  </w:style>
  <w:style w:type="character" w:styleId="ListLabel86" w:customStyle="1">
    <w:name w:val="ListLabel 86"/>
    <w:qFormat/>
    <w:rPr>
      <w:rFonts w:cs="Wingdings"/>
    </w:rPr>
  </w:style>
  <w:style w:type="character" w:styleId="ListLabel87" w:customStyle="1">
    <w:name w:val="ListLabel 87"/>
    <w:qFormat/>
    <w:rPr>
      <w:sz w:val="28"/>
      <w:szCs w:val="28"/>
    </w:rPr>
  </w:style>
  <w:style w:type="character" w:styleId="ListLabel88" w:customStyle="1">
    <w:name w:val="ListLabel 88"/>
    <w:qFormat/>
    <w:rPr>
      <w:rFonts w:cs="Symbol"/>
      <w:sz w:val="28"/>
    </w:rPr>
  </w:style>
  <w:style w:type="character" w:styleId="ListLabel89" w:customStyle="1">
    <w:name w:val="ListLabel 89"/>
    <w:qFormat/>
    <w:rPr>
      <w:rFonts w:cs="Courier New"/>
    </w:rPr>
  </w:style>
  <w:style w:type="character" w:styleId="ListLabel90" w:customStyle="1">
    <w:name w:val="ListLabel 90"/>
    <w:qFormat/>
    <w:rPr>
      <w:rFonts w:cs="Wingdings"/>
    </w:rPr>
  </w:style>
  <w:style w:type="character" w:styleId="ListLabel91" w:customStyle="1">
    <w:name w:val="ListLabel 91"/>
    <w:qFormat/>
    <w:rPr>
      <w:rFonts w:cs="Symbol"/>
    </w:rPr>
  </w:style>
  <w:style w:type="character" w:styleId="ListLabel92" w:customStyle="1">
    <w:name w:val="ListLabel 92"/>
    <w:qFormat/>
    <w:rPr>
      <w:rFonts w:cs="Courier New"/>
    </w:rPr>
  </w:style>
  <w:style w:type="character" w:styleId="ListLabel93" w:customStyle="1">
    <w:name w:val="ListLabel 93"/>
    <w:qFormat/>
    <w:rPr>
      <w:rFonts w:cs="Wingdings"/>
    </w:rPr>
  </w:style>
  <w:style w:type="character" w:styleId="ListLabel94" w:customStyle="1">
    <w:name w:val="ListLabel 94"/>
    <w:qFormat/>
    <w:rPr>
      <w:rFonts w:cs="Symbol"/>
    </w:rPr>
  </w:style>
  <w:style w:type="character" w:styleId="ListLabel95" w:customStyle="1">
    <w:name w:val="ListLabel 95"/>
    <w:qFormat/>
    <w:rPr>
      <w:rFonts w:cs="Courier New"/>
    </w:rPr>
  </w:style>
  <w:style w:type="character" w:styleId="ListLabel96" w:customStyle="1">
    <w:name w:val="ListLabel 96"/>
    <w:qFormat/>
    <w:rPr>
      <w:rFonts w:cs="Wingdings"/>
    </w:rPr>
  </w:style>
  <w:style w:type="character" w:styleId="ListLabel97" w:customStyle="1">
    <w:name w:val="ListLabel 97"/>
    <w:qFormat/>
    <w:rPr>
      <w:rFonts w:ascii="Times New Roman" w:hAnsi="Times New Roman" w:cs="Symbol"/>
      <w:sz w:val="28"/>
    </w:rPr>
  </w:style>
  <w:style w:type="character" w:styleId="ListLabel98" w:customStyle="1">
    <w:name w:val="ListLabel 98"/>
    <w:qFormat/>
    <w:rPr>
      <w:rFonts w:cs="Courier New"/>
    </w:rPr>
  </w:style>
  <w:style w:type="character" w:styleId="ListLabel99" w:customStyle="1">
    <w:name w:val="ListLabel 99"/>
    <w:qFormat/>
    <w:rPr>
      <w:rFonts w:cs="Wingdings"/>
    </w:rPr>
  </w:style>
  <w:style w:type="character" w:styleId="ListLabel100" w:customStyle="1">
    <w:name w:val="ListLabel 100"/>
    <w:qFormat/>
    <w:rPr>
      <w:rFonts w:cs="Symbol"/>
    </w:rPr>
  </w:style>
  <w:style w:type="character" w:styleId="ListLabel101" w:customStyle="1">
    <w:name w:val="ListLabel 101"/>
    <w:qFormat/>
    <w:rPr>
      <w:rFonts w:cs="Courier New"/>
    </w:rPr>
  </w:style>
  <w:style w:type="character" w:styleId="ListLabel102" w:customStyle="1">
    <w:name w:val="ListLabel 102"/>
    <w:qFormat/>
    <w:rPr>
      <w:rFonts w:cs="Wingdings"/>
    </w:rPr>
  </w:style>
  <w:style w:type="character" w:styleId="ListLabel103" w:customStyle="1">
    <w:name w:val="ListLabel 103"/>
    <w:qFormat/>
    <w:rPr>
      <w:rFonts w:cs="Symbol"/>
    </w:rPr>
  </w:style>
  <w:style w:type="character" w:styleId="ListLabel104" w:customStyle="1">
    <w:name w:val="ListLabel 104"/>
    <w:qFormat/>
    <w:rPr>
      <w:rFonts w:cs="Courier New"/>
    </w:rPr>
  </w:style>
  <w:style w:type="character" w:styleId="ListLabel105" w:customStyle="1">
    <w:name w:val="ListLabel 105"/>
    <w:qFormat/>
    <w:rPr>
      <w:rFonts w:cs="Wingdings"/>
    </w:rPr>
  </w:style>
  <w:style w:type="character" w:styleId="ListLabel106" w:customStyle="1">
    <w:name w:val="ListLabel 106"/>
    <w:qFormat/>
    <w:rPr>
      <w:rFonts w:ascii="Times New Roman" w:hAnsi="Times New Roman" w:cs="Symbol"/>
      <w:sz w:val="28"/>
    </w:rPr>
  </w:style>
  <w:style w:type="character" w:styleId="ListLabel107" w:customStyle="1">
    <w:name w:val="ListLabel 107"/>
    <w:qFormat/>
    <w:rPr>
      <w:rFonts w:cs="Courier New"/>
    </w:rPr>
  </w:style>
  <w:style w:type="character" w:styleId="ListLabel108" w:customStyle="1">
    <w:name w:val="ListLabel 108"/>
    <w:qFormat/>
    <w:rPr>
      <w:rFonts w:cs="Wingdings"/>
    </w:rPr>
  </w:style>
  <w:style w:type="character" w:styleId="ListLabel109" w:customStyle="1">
    <w:name w:val="ListLabel 109"/>
    <w:qFormat/>
    <w:rPr>
      <w:rFonts w:cs="Symbol"/>
    </w:rPr>
  </w:style>
  <w:style w:type="character" w:styleId="ListLabel110" w:customStyle="1">
    <w:name w:val="ListLabel 110"/>
    <w:qFormat/>
    <w:rPr>
      <w:rFonts w:cs="Courier New"/>
    </w:rPr>
  </w:style>
  <w:style w:type="character" w:styleId="ListLabel111" w:customStyle="1">
    <w:name w:val="ListLabel 111"/>
    <w:qFormat/>
    <w:rPr>
      <w:rFonts w:cs="Wingdings"/>
    </w:rPr>
  </w:style>
  <w:style w:type="character" w:styleId="ListLabel112" w:customStyle="1">
    <w:name w:val="ListLabel 112"/>
    <w:qFormat/>
    <w:rPr>
      <w:rFonts w:cs="Symbol"/>
    </w:rPr>
  </w:style>
  <w:style w:type="character" w:styleId="ListLabel113" w:customStyle="1">
    <w:name w:val="ListLabel 113"/>
    <w:qFormat/>
    <w:rPr>
      <w:rFonts w:cs="Courier New"/>
    </w:rPr>
  </w:style>
  <w:style w:type="character" w:styleId="ListLabel114" w:customStyle="1">
    <w:name w:val="ListLabel 114"/>
    <w:qFormat/>
    <w:rPr>
      <w:rFonts w:cs="Wingdings"/>
    </w:rPr>
  </w:style>
  <w:style w:type="character" w:styleId="ListLabel115" w:customStyle="1">
    <w:name w:val="ListLabel 115"/>
    <w:qFormat/>
    <w:rPr>
      <w:rFonts w:cs="Symbol"/>
      <w:sz w:val="28"/>
    </w:rPr>
  </w:style>
  <w:style w:type="character" w:styleId="ListLabel116" w:customStyle="1">
    <w:name w:val="ListLabel 116"/>
    <w:qFormat/>
    <w:rPr>
      <w:rFonts w:cs="Courier New"/>
    </w:rPr>
  </w:style>
  <w:style w:type="character" w:styleId="ListLabel117" w:customStyle="1">
    <w:name w:val="ListLabel 117"/>
    <w:qFormat/>
    <w:rPr>
      <w:rFonts w:cs="Wingdings"/>
    </w:rPr>
  </w:style>
  <w:style w:type="character" w:styleId="ListLabel118" w:customStyle="1">
    <w:name w:val="ListLabel 118"/>
    <w:qFormat/>
    <w:rPr>
      <w:rFonts w:cs="Symbol"/>
    </w:rPr>
  </w:style>
  <w:style w:type="character" w:styleId="ListLabel119" w:customStyle="1">
    <w:name w:val="ListLabel 119"/>
    <w:qFormat/>
    <w:rPr>
      <w:rFonts w:cs="Courier New"/>
    </w:rPr>
  </w:style>
  <w:style w:type="character" w:styleId="ListLabel120" w:customStyle="1">
    <w:name w:val="ListLabel 120"/>
    <w:qFormat/>
    <w:rPr>
      <w:rFonts w:cs="Wingdings"/>
    </w:rPr>
  </w:style>
  <w:style w:type="character" w:styleId="ListLabel121" w:customStyle="1">
    <w:name w:val="ListLabel 121"/>
    <w:qFormat/>
    <w:rPr>
      <w:rFonts w:cs="Symbol"/>
    </w:rPr>
  </w:style>
  <w:style w:type="character" w:styleId="ListLabel122" w:customStyle="1">
    <w:name w:val="ListLabel 122"/>
    <w:qFormat/>
    <w:rPr>
      <w:rFonts w:cs="Courier New"/>
    </w:rPr>
  </w:style>
  <w:style w:type="character" w:styleId="ListLabel123" w:customStyle="1">
    <w:name w:val="ListLabel 123"/>
    <w:qFormat/>
    <w:rPr>
      <w:rFonts w:cs="Wingdings"/>
    </w:rPr>
  </w:style>
  <w:style w:type="character" w:styleId="ListLabel124" w:customStyle="1">
    <w:name w:val="ListLabel 124"/>
    <w:qFormat/>
    <w:rPr>
      <w:sz w:val="28"/>
      <w:szCs w:val="28"/>
    </w:rPr>
  </w:style>
  <w:style w:type="character" w:styleId="ListLabel125">
    <w:name w:val="ListLabel 125"/>
    <w:qFormat/>
    <w:rPr>
      <w:rFonts w:cs="Symbol"/>
      <w:sz w:val="28"/>
    </w:rPr>
  </w:style>
  <w:style w:type="character" w:styleId="ListLabel126">
    <w:name w:val="ListLabel 126"/>
    <w:qFormat/>
    <w:rPr>
      <w:rFonts w:cs="Courier New"/>
    </w:rPr>
  </w:style>
  <w:style w:type="character" w:styleId="ListLabel127">
    <w:name w:val="ListLabel 127"/>
    <w:qFormat/>
    <w:rPr>
      <w:rFonts w:cs="Wingdings"/>
    </w:rPr>
  </w:style>
  <w:style w:type="character" w:styleId="ListLabel128">
    <w:name w:val="ListLabel 128"/>
    <w:qFormat/>
    <w:rPr>
      <w:rFonts w:cs="Symbol"/>
    </w:rPr>
  </w:style>
  <w:style w:type="character" w:styleId="ListLabel129">
    <w:name w:val="ListLabel 129"/>
    <w:qFormat/>
    <w:rPr>
      <w:rFonts w:cs="Courier New"/>
    </w:rPr>
  </w:style>
  <w:style w:type="character" w:styleId="ListLabel130">
    <w:name w:val="ListLabel 130"/>
    <w:qFormat/>
    <w:rPr>
      <w:rFonts w:cs="Wingdings"/>
    </w:rPr>
  </w:style>
  <w:style w:type="character" w:styleId="ListLabel131">
    <w:name w:val="ListLabel 131"/>
    <w:qFormat/>
    <w:rPr>
      <w:rFonts w:cs="Symbol"/>
    </w:rPr>
  </w:style>
  <w:style w:type="character" w:styleId="ListLabel132">
    <w:name w:val="ListLabel 132"/>
    <w:qFormat/>
    <w:rPr>
      <w:rFonts w:cs="Courier New"/>
    </w:rPr>
  </w:style>
  <w:style w:type="character" w:styleId="ListLabel133">
    <w:name w:val="ListLabel 133"/>
    <w:qFormat/>
    <w:rPr>
      <w:rFonts w:cs="Wingdings"/>
    </w:rPr>
  </w:style>
  <w:style w:type="character" w:styleId="ListLabel134">
    <w:name w:val="ListLabel 134"/>
    <w:qFormat/>
    <w:rPr>
      <w:rFonts w:ascii="Times New Roman" w:hAnsi="Times New Roman" w:cs="Symbol"/>
      <w:sz w:val="28"/>
    </w:rPr>
  </w:style>
  <w:style w:type="character" w:styleId="ListLabel135">
    <w:name w:val="ListLabel 135"/>
    <w:qFormat/>
    <w:rPr>
      <w:rFonts w:cs="Courier New"/>
    </w:rPr>
  </w:style>
  <w:style w:type="character" w:styleId="ListLabel136">
    <w:name w:val="ListLabel 136"/>
    <w:qFormat/>
    <w:rPr>
      <w:rFonts w:cs="Wingdings"/>
    </w:rPr>
  </w:style>
  <w:style w:type="character" w:styleId="ListLabel137">
    <w:name w:val="ListLabel 137"/>
    <w:qFormat/>
    <w:rPr>
      <w:rFonts w:cs="Symbol"/>
    </w:rPr>
  </w:style>
  <w:style w:type="character" w:styleId="ListLabel138">
    <w:name w:val="ListLabel 138"/>
    <w:qFormat/>
    <w:rPr>
      <w:rFonts w:cs="Courier New"/>
    </w:rPr>
  </w:style>
  <w:style w:type="character" w:styleId="ListLabel139">
    <w:name w:val="ListLabel 139"/>
    <w:qFormat/>
    <w:rPr>
      <w:rFonts w:cs="Wingdings"/>
    </w:rPr>
  </w:style>
  <w:style w:type="character" w:styleId="ListLabel140">
    <w:name w:val="ListLabel 140"/>
    <w:qFormat/>
    <w:rPr>
      <w:rFonts w:cs="Symbol"/>
    </w:rPr>
  </w:style>
  <w:style w:type="character" w:styleId="ListLabel141">
    <w:name w:val="ListLabel 141"/>
    <w:qFormat/>
    <w:rPr>
      <w:rFonts w:cs="Courier New"/>
    </w:rPr>
  </w:style>
  <w:style w:type="character" w:styleId="ListLabel142">
    <w:name w:val="ListLabel 142"/>
    <w:qFormat/>
    <w:rPr>
      <w:rFonts w:cs="Wingdings"/>
    </w:rPr>
  </w:style>
  <w:style w:type="character" w:styleId="ListLabel143">
    <w:name w:val="ListLabel 143"/>
    <w:qFormat/>
    <w:rPr>
      <w:rFonts w:cs="Symbol"/>
      <w:sz w:val="28"/>
    </w:rPr>
  </w:style>
  <w:style w:type="character" w:styleId="ListLabel144">
    <w:name w:val="ListLabel 144"/>
    <w:qFormat/>
    <w:rPr>
      <w:rFonts w:cs="Courier New"/>
    </w:rPr>
  </w:style>
  <w:style w:type="character" w:styleId="ListLabel145">
    <w:name w:val="ListLabel 145"/>
    <w:qFormat/>
    <w:rPr>
      <w:rFonts w:cs="Wingdings"/>
    </w:rPr>
  </w:style>
  <w:style w:type="character" w:styleId="ListLabel146">
    <w:name w:val="ListLabel 146"/>
    <w:qFormat/>
    <w:rPr>
      <w:rFonts w:cs="Symbol"/>
    </w:rPr>
  </w:style>
  <w:style w:type="character" w:styleId="ListLabel147">
    <w:name w:val="ListLabel 147"/>
    <w:qFormat/>
    <w:rPr>
      <w:rFonts w:cs="Courier New"/>
    </w:rPr>
  </w:style>
  <w:style w:type="character" w:styleId="ListLabel148">
    <w:name w:val="ListLabel 148"/>
    <w:qFormat/>
    <w:rPr>
      <w:rFonts w:cs="Wingdings"/>
    </w:rPr>
  </w:style>
  <w:style w:type="character" w:styleId="ListLabel149">
    <w:name w:val="ListLabel 149"/>
    <w:qFormat/>
    <w:rPr>
      <w:rFonts w:cs="Symbol"/>
    </w:rPr>
  </w:style>
  <w:style w:type="character" w:styleId="ListLabel150">
    <w:name w:val="ListLabel 150"/>
    <w:qFormat/>
    <w:rPr>
      <w:rFonts w:cs="Courier New"/>
    </w:rPr>
  </w:style>
  <w:style w:type="character" w:styleId="ListLabel151">
    <w:name w:val="ListLabel 151"/>
    <w:qFormat/>
    <w:rPr>
      <w:rFonts w:cs="Wingdings"/>
    </w:rPr>
  </w:style>
  <w:style w:type="character" w:styleId="ListLabel152">
    <w:name w:val="ListLabel 152"/>
    <w:qFormat/>
    <w:rPr>
      <w:sz w:val="28"/>
      <w:szCs w:val="28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styleId="Annotationtext">
    <w:name w:val="annotation text"/>
    <w:basedOn w:val="Normal"/>
    <w:uiPriority w:val="99"/>
    <w:semiHidden/>
    <w:unhideWhenUsed/>
    <w:qFormat/>
    <w:rsid w:val="00c2121f"/>
    <w:pPr>
      <w:spacing w:before="0" w:after="160"/>
    </w:pPr>
    <w:rPr>
      <w:rFonts w:ascii="Calibri" w:hAnsi="Calibri" w:cs="" w:asciiTheme="minorHAnsi" w:cstheme="minorBidi" w:hAnsiTheme="minorHAnsi"/>
      <w:sz w:val="20"/>
      <w:szCs w:val="20"/>
      <w:lang w:eastAsia="en-US"/>
    </w:rPr>
  </w:style>
  <w:style w:type="paragraph" w:styleId="Annotationsubject">
    <w:name w:val="annotation subject"/>
    <w:basedOn w:val="Annotationtext"/>
    <w:next w:val="Annotationtext"/>
    <w:uiPriority w:val="99"/>
    <w:semiHidden/>
    <w:unhideWhenUsed/>
    <w:qFormat/>
    <w:rsid w:val="00c2121f"/>
    <w:pPr/>
    <w:rPr>
      <w:b/>
      <w:bCs/>
    </w:rPr>
  </w:style>
  <w:style w:type="paragraph" w:styleId="BalloonText">
    <w:name w:val="Balloon Text"/>
    <w:basedOn w:val="Normal"/>
    <w:uiPriority w:val="99"/>
    <w:semiHidden/>
    <w:unhideWhenUsed/>
    <w:qFormat/>
    <w:rsid w:val="00c2121f"/>
    <w:pPr/>
    <w:rPr>
      <w:rFonts w:ascii="Segoe UI" w:hAnsi="Segoe UI" w:cs="Segoe UI"/>
      <w:sz w:val="18"/>
      <w:szCs w:val="18"/>
      <w:lang w:eastAsia="en-US"/>
    </w:rPr>
  </w:style>
  <w:style w:type="paragraph" w:styleId="Header">
    <w:name w:val="Header"/>
    <w:basedOn w:val="Normal"/>
    <w:uiPriority w:val="99"/>
    <w:unhideWhenUsed/>
    <w:rsid w:val="004b6563"/>
    <w:pPr>
      <w:tabs>
        <w:tab w:val="clear" w:pos="708"/>
        <w:tab w:val="center" w:pos="4677" w:leader="none"/>
        <w:tab w:val="right" w:pos="9355" w:leader="none"/>
      </w:tabs>
    </w:pPr>
    <w:rPr>
      <w:rFonts w:ascii="Calibri" w:hAnsi="Calibri" w:cs="" w:asciiTheme="minorHAnsi" w:cstheme="minorBidi" w:hAnsiTheme="minorHAnsi"/>
      <w:sz w:val="22"/>
      <w:szCs w:val="22"/>
      <w:lang w:eastAsia="en-US"/>
    </w:rPr>
  </w:style>
  <w:style w:type="paragraph" w:styleId="Footer">
    <w:name w:val="Footer"/>
    <w:basedOn w:val="Normal"/>
    <w:uiPriority w:val="99"/>
    <w:unhideWhenUsed/>
    <w:rsid w:val="004b6563"/>
    <w:pPr>
      <w:tabs>
        <w:tab w:val="clear" w:pos="708"/>
        <w:tab w:val="center" w:pos="4677" w:leader="none"/>
        <w:tab w:val="right" w:pos="9355" w:leader="none"/>
      </w:tabs>
    </w:pPr>
    <w:rPr>
      <w:rFonts w:ascii="Calibri" w:hAnsi="Calibri" w:cs="" w:asciiTheme="minorHAnsi" w:cstheme="minorBidi" w:hAnsiTheme="minorHAnsi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c51ecd"/>
    <w:pPr>
      <w:spacing w:lineRule="auto" w:line="259" w:before="0" w:after="160"/>
      <w:ind w:left="720" w:hanging="0"/>
      <w:contextualSpacing/>
    </w:pPr>
    <w:rPr>
      <w:rFonts w:ascii="Calibri" w:hAnsi="Calibri" w:cs="" w:asciiTheme="minorHAnsi" w:cstheme="minorBidi" w:hAnsiTheme="minorHAnsi"/>
      <w:sz w:val="22"/>
      <w:szCs w:val="22"/>
      <w:lang w:eastAsia="en-U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2">
    <w:name w:val="Table Grid"/>
    <w:basedOn w:val="a1"/>
    <w:uiPriority w:val="39"/>
    <w:rsid w:val="0031496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pn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1359</TotalTime>
  <Application>LibreOffice/6.2.2.2$Linux_X86_64 LibreOffice_project/2b840030fec2aae0fd2658d8d4f9548af4e3518d</Application>
  <Pages>11</Pages>
  <Words>944</Words>
  <Characters>6019</Characters>
  <CharactersWithSpaces>6912</CharactersWithSpaces>
  <Paragraphs>71</Paragraphs>
  <Company>Steplogic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2019-08-29T12:33:00Z</dcterms:created>
  <dc:creator>Шкорупеев Сергей Александрович</dc:creator>
  <dc:description/>
  <dc:language>en-US</dc:language>
  <cp:lastModifiedBy/>
  <dcterms:modified xsi:type="dcterms:W3CDTF">2019-12-13T14:01:33Z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Steplogic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